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0FE82" w14:textId="2D503EEF" w:rsidR="003D5481" w:rsidRPr="003D6C04" w:rsidRDefault="00C57AF5" w:rsidP="003D5481">
      <w:pPr>
        <w:spacing w:after="0"/>
        <w:jc w:val="center"/>
        <w:rPr>
          <w:sz w:val="16"/>
          <w:szCs w:val="16"/>
        </w:rPr>
      </w:pPr>
      <w:r>
        <w:rPr>
          <w:noProof/>
          <w:sz w:val="16"/>
          <w:szCs w:val="16"/>
        </w:rPr>
        <w:drawing>
          <wp:inline distT="0" distB="0" distL="0" distR="0" wp14:anchorId="4AB585A2" wp14:editId="30D46B9F">
            <wp:extent cx="3562350" cy="1187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62350" cy="1187450"/>
                    </a:xfrm>
                    <a:prstGeom prst="rect">
                      <a:avLst/>
                    </a:prstGeom>
                    <a:noFill/>
                    <a:ln>
                      <a:noFill/>
                    </a:ln>
                  </pic:spPr>
                </pic:pic>
              </a:graphicData>
            </a:graphic>
          </wp:inline>
        </w:drawing>
      </w:r>
      <w:r w:rsidR="1D50656E" w:rsidRPr="1D50656E">
        <w:rPr>
          <w:sz w:val="16"/>
          <w:szCs w:val="16"/>
        </w:rPr>
        <w:t xml:space="preserve"> </w:t>
      </w:r>
    </w:p>
    <w:p w14:paraId="59108BC7" w14:textId="77777777" w:rsidR="003D5481" w:rsidRPr="00877BCA" w:rsidRDefault="0F90D236" w:rsidP="0F90D236">
      <w:pPr>
        <w:spacing w:after="0"/>
        <w:jc w:val="center"/>
        <w:rPr>
          <w:rFonts w:ascii="Arial" w:hAnsi="Arial" w:cs="Arial"/>
          <w:sz w:val="28"/>
          <w:lang w:eastAsia="fr-FR"/>
        </w:rPr>
      </w:pPr>
      <w:r w:rsidRPr="00877BCA">
        <w:rPr>
          <w:rFonts w:ascii="Arial" w:hAnsi="Arial" w:cs="Arial"/>
          <w:sz w:val="20"/>
          <w:szCs w:val="16"/>
        </w:rPr>
        <w:t>This Programme is funded by the European Union</w:t>
      </w:r>
    </w:p>
    <w:p w14:paraId="7B06EABD" w14:textId="0291AC56" w:rsidR="00703413" w:rsidRPr="009C3793" w:rsidRDefault="0F90D236" w:rsidP="009C3793">
      <w:pPr>
        <w:spacing w:before="960"/>
        <w:jc w:val="center"/>
        <w:rPr>
          <w:b/>
          <w:bCs/>
          <w:sz w:val="32"/>
          <w:szCs w:val="32"/>
        </w:rPr>
      </w:pPr>
      <w:r w:rsidRPr="0F90D236">
        <w:rPr>
          <w:b/>
          <w:bCs/>
          <w:sz w:val="32"/>
          <w:szCs w:val="32"/>
        </w:rPr>
        <w:t>Contracting authority</w:t>
      </w:r>
      <w:r w:rsidRPr="0F90D236">
        <w:rPr>
          <w:sz w:val="32"/>
          <w:szCs w:val="32"/>
        </w:rPr>
        <w:t xml:space="preserve">: </w:t>
      </w:r>
      <w:r w:rsidRPr="0F90D236">
        <w:rPr>
          <w:b/>
          <w:bCs/>
          <w:sz w:val="32"/>
          <w:szCs w:val="32"/>
        </w:rPr>
        <w:t>Central Finance and Contracts Unit (CFCU)</w:t>
      </w:r>
    </w:p>
    <w:p w14:paraId="110B8C65" w14:textId="1CF134C9" w:rsidR="00703413" w:rsidRPr="00703413" w:rsidRDefault="0783902A" w:rsidP="0783902A">
      <w:pPr>
        <w:pStyle w:val="SubTitle1"/>
        <w:spacing w:before="480"/>
        <w:rPr>
          <w:sz w:val="32"/>
          <w:szCs w:val="32"/>
        </w:rPr>
      </w:pPr>
      <w:r w:rsidRPr="0783902A">
        <w:rPr>
          <w:sz w:val="32"/>
          <w:szCs w:val="32"/>
        </w:rPr>
        <w:t xml:space="preserve">Grant Scheme for </w:t>
      </w:r>
      <w:proofErr w:type="spellStart"/>
      <w:r w:rsidRPr="0783902A">
        <w:rPr>
          <w:sz w:val="32"/>
          <w:szCs w:val="32"/>
        </w:rPr>
        <w:t>Türkiye</w:t>
      </w:r>
      <w:proofErr w:type="spellEnd"/>
      <w:r w:rsidRPr="0783902A">
        <w:rPr>
          <w:sz w:val="32"/>
          <w:szCs w:val="32"/>
        </w:rPr>
        <w:t>-EU Business Dialogue II (TEBD-II)</w:t>
      </w:r>
    </w:p>
    <w:p w14:paraId="2F2830C9" w14:textId="5179018C" w:rsidR="00491F8A" w:rsidRDefault="0F90D236" w:rsidP="0F90D236">
      <w:pPr>
        <w:pStyle w:val="SubTitle1"/>
        <w:spacing w:before="480"/>
        <w:rPr>
          <w:b w:val="0"/>
          <w:sz w:val="32"/>
          <w:szCs w:val="32"/>
        </w:rPr>
      </w:pPr>
      <w:r w:rsidRPr="0F90D236">
        <w:rPr>
          <w:b w:val="0"/>
          <w:sz w:val="32"/>
          <w:szCs w:val="32"/>
        </w:rPr>
        <w:t>Guidelines</w:t>
      </w:r>
      <w:r w:rsidR="0007408E">
        <w:br/>
      </w:r>
      <w:r w:rsidRPr="0F90D236">
        <w:rPr>
          <w:b w:val="0"/>
          <w:sz w:val="32"/>
          <w:szCs w:val="32"/>
        </w:rPr>
        <w:t>for grant applicants</w:t>
      </w:r>
    </w:p>
    <w:p w14:paraId="2A3D45EE" w14:textId="77777777" w:rsidR="009C3793" w:rsidRPr="009C3793" w:rsidRDefault="009C3793" w:rsidP="009C3793">
      <w:pPr>
        <w:pStyle w:val="SubTitle2"/>
      </w:pPr>
    </w:p>
    <w:p w14:paraId="33E46749" w14:textId="50A1E64D" w:rsidR="006225E8" w:rsidRPr="008503BC" w:rsidRDefault="0F90D236" w:rsidP="0F90D236">
      <w:pPr>
        <w:pStyle w:val="SubTitle1"/>
        <w:spacing w:before="480"/>
        <w:rPr>
          <w:b w:val="0"/>
          <w:sz w:val="32"/>
          <w:szCs w:val="32"/>
        </w:rPr>
      </w:pPr>
      <w:r w:rsidRPr="0F90D236">
        <w:rPr>
          <w:b w:val="0"/>
          <w:sz w:val="32"/>
          <w:szCs w:val="32"/>
        </w:rPr>
        <w:t xml:space="preserve">Budget line: </w:t>
      </w:r>
      <w:r w:rsidRPr="00441769">
        <w:rPr>
          <w:sz w:val="32"/>
          <w:szCs w:val="32"/>
        </w:rPr>
        <w:t>15.02 01 01.01</w:t>
      </w:r>
    </w:p>
    <w:p w14:paraId="5C5B344F" w14:textId="7F16CAD8" w:rsidR="006225E8" w:rsidRDefault="0F90D236" w:rsidP="006225E8">
      <w:pPr>
        <w:pStyle w:val="SubTitle2"/>
        <w:rPr>
          <w:b w:val="0"/>
        </w:rPr>
      </w:pPr>
      <w:r>
        <w:rPr>
          <w:b w:val="0"/>
        </w:rPr>
        <w:t>Reference: TR2021/W1T7/A02/OT02-2</w:t>
      </w:r>
    </w:p>
    <w:p w14:paraId="7540DD5B" w14:textId="77777777" w:rsidR="003D5758" w:rsidRDefault="003D5758" w:rsidP="00D17D96">
      <w:pPr>
        <w:pStyle w:val="SubTitle2"/>
        <w:rPr>
          <w:b w:val="0"/>
        </w:rPr>
      </w:pPr>
      <w:r w:rsidRPr="003D5758">
        <w:rPr>
          <w:b w:val="0"/>
        </w:rPr>
        <w:t>EuropeAid/179766/ID/ACT/TR</w:t>
      </w:r>
    </w:p>
    <w:p w14:paraId="2D4E7636" w14:textId="648978D6" w:rsidR="00216CE5" w:rsidRPr="00D17D96" w:rsidRDefault="0F90D236" w:rsidP="00D17D96">
      <w:pPr>
        <w:pStyle w:val="SubTitle2"/>
        <w:rPr>
          <w:szCs w:val="32"/>
        </w:rPr>
      </w:pPr>
      <w:r>
        <w:rPr>
          <w:b w:val="0"/>
        </w:rPr>
        <w:t xml:space="preserve">Deadline for submission of concept note: </w:t>
      </w:r>
      <w:r w:rsidR="000949CB" w:rsidRPr="000949CB">
        <w:rPr>
          <w:b w:val="0"/>
        </w:rPr>
        <w:t>16</w:t>
      </w:r>
      <w:r w:rsidR="003D5758" w:rsidRPr="000949CB">
        <w:rPr>
          <w:b w:val="0"/>
        </w:rPr>
        <w:t xml:space="preserve"> April 2024</w:t>
      </w:r>
    </w:p>
    <w:p w14:paraId="05A8D224" w14:textId="4A2C28EB" w:rsidR="001F5F6E" w:rsidRDefault="001F5F6E" w:rsidP="00551E36">
      <w:pPr>
        <w:pStyle w:val="SubTitle2"/>
        <w:rPr>
          <w:sz w:val="24"/>
          <w:szCs w:val="24"/>
        </w:rPr>
      </w:pPr>
    </w:p>
    <w:p w14:paraId="242EBC9C" w14:textId="2DC134B5" w:rsidR="00216CE5" w:rsidRPr="009C3793" w:rsidRDefault="00216CE5" w:rsidP="001F5F6E">
      <w:pPr>
        <w:pStyle w:val="SubTitle2"/>
        <w:rPr>
          <w:sz w:val="24"/>
        </w:rPr>
      </w:pPr>
    </w:p>
    <w:p w14:paraId="6C7927B4" w14:textId="1473187E" w:rsidR="00E322C8" w:rsidRPr="009C3793" w:rsidRDefault="00E322C8" w:rsidP="001F5F6E">
      <w:pPr>
        <w:pStyle w:val="SubTitle2"/>
        <w:rPr>
          <w:sz w:val="24"/>
        </w:rPr>
      </w:pPr>
    </w:p>
    <w:p w14:paraId="321800D3" w14:textId="0BB08EC9" w:rsidR="00C57AF5" w:rsidRDefault="00C57AF5" w:rsidP="001F5F6E">
      <w:pPr>
        <w:pStyle w:val="SubTitle2"/>
        <w:rPr>
          <w:sz w:val="24"/>
        </w:rPr>
      </w:pPr>
    </w:p>
    <w:p w14:paraId="0F6267E6" w14:textId="77777777" w:rsidR="009C3793" w:rsidRPr="009C3793" w:rsidRDefault="009C3793" w:rsidP="001F5F6E">
      <w:pPr>
        <w:pStyle w:val="SubTitle2"/>
        <w:rPr>
          <w:sz w:val="24"/>
        </w:rPr>
      </w:pPr>
    </w:p>
    <w:tbl>
      <w:tblPr>
        <w:tblpPr w:leftFromText="180" w:rightFromText="180" w:vertAnchor="text" w:horzAnchor="margin" w:tblpY="99"/>
        <w:tblW w:w="0" w:type="auto"/>
        <w:tblLayout w:type="fixed"/>
        <w:tblLook w:val="04A0" w:firstRow="1" w:lastRow="0" w:firstColumn="1" w:lastColumn="0" w:noHBand="0" w:noVBand="1"/>
      </w:tblPr>
      <w:tblGrid>
        <w:gridCol w:w="1737"/>
        <w:gridCol w:w="810"/>
        <w:gridCol w:w="2268"/>
        <w:gridCol w:w="2551"/>
        <w:gridCol w:w="807"/>
        <w:gridCol w:w="1455"/>
      </w:tblGrid>
      <w:tr w:rsidR="00C57AF5" w:rsidRPr="00D6320B" w14:paraId="23758040" w14:textId="77777777" w:rsidTr="00877BCA">
        <w:trPr>
          <w:trHeight w:val="1523"/>
        </w:trPr>
        <w:tc>
          <w:tcPr>
            <w:tcW w:w="1737" w:type="dxa"/>
            <w:shd w:val="clear" w:color="auto" w:fill="auto"/>
            <w:vAlign w:val="center"/>
          </w:tcPr>
          <w:p w14:paraId="64049E08" w14:textId="432070A6" w:rsidR="00C57AF5" w:rsidRPr="007E3F12" w:rsidRDefault="00C57AF5" w:rsidP="00E322C8">
            <w:pPr>
              <w:pStyle w:val="SubTitle1"/>
              <w:jc w:val="left"/>
            </w:pPr>
            <w:r>
              <w:rPr>
                <w:noProof/>
              </w:rPr>
              <w:drawing>
                <wp:inline distT="0" distB="0" distL="0" distR="0" wp14:anchorId="21D26904" wp14:editId="20137FCB">
                  <wp:extent cx="881619" cy="884108"/>
                  <wp:effectExtent l="0" t="0" r="0" b="0"/>
                  <wp:docPr id="27" name="Picture 27" descr="https://cfcu.gov.tr/sites/default/files/cfcu-static/CFCU_Logo_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fcu.gov.tr/sites/default/files/cfcu-static/CFCU_Logo_EN.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16341" cy="918928"/>
                          </a:xfrm>
                          <a:prstGeom prst="rect">
                            <a:avLst/>
                          </a:prstGeom>
                          <a:noFill/>
                          <a:ln>
                            <a:noFill/>
                          </a:ln>
                        </pic:spPr>
                      </pic:pic>
                    </a:graphicData>
                  </a:graphic>
                </wp:inline>
              </w:drawing>
            </w:r>
          </w:p>
        </w:tc>
        <w:tc>
          <w:tcPr>
            <w:tcW w:w="810" w:type="dxa"/>
            <w:shd w:val="clear" w:color="auto" w:fill="auto"/>
            <w:vAlign w:val="center"/>
          </w:tcPr>
          <w:p w14:paraId="23D637FF" w14:textId="17F5F307" w:rsidR="00C57AF5" w:rsidRPr="006B3DEC" w:rsidRDefault="00C57AF5" w:rsidP="00877BCA">
            <w:pPr>
              <w:pStyle w:val="SubTitle1"/>
              <w:jc w:val="both"/>
            </w:pPr>
          </w:p>
        </w:tc>
        <w:tc>
          <w:tcPr>
            <w:tcW w:w="2268" w:type="dxa"/>
            <w:shd w:val="clear" w:color="auto" w:fill="auto"/>
            <w:vAlign w:val="center"/>
          </w:tcPr>
          <w:p w14:paraId="6C2EEDF4" w14:textId="1B2A9372" w:rsidR="00C57AF5" w:rsidRPr="006B3DEC" w:rsidRDefault="00C57AF5" w:rsidP="00C57AF5">
            <w:pPr>
              <w:pStyle w:val="SubTitle1"/>
              <w:jc w:val="right"/>
            </w:pPr>
            <w:r w:rsidRPr="007E3F12">
              <w:rPr>
                <w:noProof/>
                <w:lang w:eastAsia="en-GB"/>
              </w:rPr>
              <w:drawing>
                <wp:anchor distT="0" distB="0" distL="114300" distR="114300" simplePos="0" relativeHeight="251672576" behindDoc="0" locked="0" layoutInCell="1" allowOverlap="1" wp14:anchorId="78B727FC" wp14:editId="5503539B">
                  <wp:simplePos x="0" y="0"/>
                  <wp:positionH relativeFrom="column">
                    <wp:posOffset>-69850</wp:posOffset>
                  </wp:positionH>
                  <wp:positionV relativeFrom="paragraph">
                    <wp:posOffset>-52705</wp:posOffset>
                  </wp:positionV>
                  <wp:extent cx="1419225" cy="709295"/>
                  <wp:effectExtent l="0" t="0" r="9525" b="0"/>
                  <wp:wrapNone/>
                  <wp:docPr id="2" name="Picture 2" descr="The Association of European Chambers of Commerce and Indu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e Association of European Chambers of Commerce and Industry"/>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19225" cy="709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551" w:type="dxa"/>
            <w:shd w:val="clear" w:color="auto" w:fill="auto"/>
            <w:vAlign w:val="center"/>
          </w:tcPr>
          <w:p w14:paraId="5F6B8BF2" w14:textId="118873EF" w:rsidR="00C57AF5" w:rsidRPr="006B3DEC" w:rsidRDefault="00C57AF5" w:rsidP="00877BCA">
            <w:pPr>
              <w:pStyle w:val="SubTitle1"/>
            </w:pPr>
            <w:r w:rsidRPr="006659DA">
              <w:rPr>
                <w:b w:val="0"/>
                <w:noProof/>
                <w:snapToGrid/>
                <w:szCs w:val="32"/>
                <w:lang w:eastAsia="en-GB"/>
              </w:rPr>
              <w:drawing>
                <wp:inline distT="0" distB="0" distL="0" distR="0" wp14:anchorId="3AD445C2" wp14:editId="7C84E436">
                  <wp:extent cx="762702" cy="755015"/>
                  <wp:effectExtent l="0" t="0" r="0" b="6985"/>
                  <wp:docPr id="5" name="Picture 5" descr="logo_en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_engb"/>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77270" cy="769436"/>
                          </a:xfrm>
                          <a:prstGeom prst="rect">
                            <a:avLst/>
                          </a:prstGeom>
                          <a:noFill/>
                          <a:ln>
                            <a:noFill/>
                          </a:ln>
                        </pic:spPr>
                      </pic:pic>
                    </a:graphicData>
                  </a:graphic>
                </wp:inline>
              </w:drawing>
            </w:r>
          </w:p>
        </w:tc>
        <w:tc>
          <w:tcPr>
            <w:tcW w:w="807" w:type="dxa"/>
            <w:shd w:val="clear" w:color="auto" w:fill="auto"/>
            <w:vAlign w:val="center"/>
          </w:tcPr>
          <w:p w14:paraId="202F7AB1" w14:textId="52766A3B" w:rsidR="00C57AF5" w:rsidRPr="006B3DEC" w:rsidRDefault="00C57AF5" w:rsidP="00C57AF5">
            <w:pPr>
              <w:pStyle w:val="SubTitle1"/>
              <w:jc w:val="right"/>
            </w:pPr>
          </w:p>
        </w:tc>
        <w:tc>
          <w:tcPr>
            <w:tcW w:w="1455" w:type="dxa"/>
            <w:shd w:val="clear" w:color="auto" w:fill="auto"/>
            <w:vAlign w:val="center"/>
          </w:tcPr>
          <w:p w14:paraId="58828D59" w14:textId="77777777" w:rsidR="00C57AF5" w:rsidRPr="00E44ED4" w:rsidRDefault="00C57AF5" w:rsidP="00E322C8">
            <w:pPr>
              <w:pStyle w:val="SubTitle1"/>
              <w:jc w:val="right"/>
            </w:pPr>
            <w:r>
              <w:rPr>
                <w:noProof/>
                <w:lang w:eastAsia="en-GB"/>
              </w:rPr>
              <w:drawing>
                <wp:inline distT="0" distB="0" distL="0" distR="0" wp14:anchorId="758345B2" wp14:editId="6CCFFB35">
                  <wp:extent cx="654152" cy="700405"/>
                  <wp:effectExtent l="0" t="0" r="0" b="4445"/>
                  <wp:docPr id="4" name="picture" descr="yen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5">
                            <a:extLst>
                              <a:ext uri="{28A0092B-C50C-407E-A947-70E740481C1C}">
                                <a14:useLocalDpi xmlns:a14="http://schemas.microsoft.com/office/drawing/2010/main" val="0"/>
                              </a:ext>
                            </a:extLst>
                          </a:blip>
                          <a:stretch>
                            <a:fillRect/>
                          </a:stretch>
                        </pic:blipFill>
                        <pic:spPr>
                          <a:xfrm>
                            <a:off x="0" y="0"/>
                            <a:ext cx="664186" cy="711148"/>
                          </a:xfrm>
                          <a:prstGeom prst="rect">
                            <a:avLst/>
                          </a:prstGeom>
                        </pic:spPr>
                      </pic:pic>
                    </a:graphicData>
                  </a:graphic>
                </wp:inline>
              </w:drawing>
            </w:r>
          </w:p>
        </w:tc>
      </w:tr>
    </w:tbl>
    <w:p w14:paraId="71F6ED24" w14:textId="3CD5E2F5" w:rsidR="00E322C8" w:rsidRDefault="00E322C8" w:rsidP="00216CE5">
      <w:pPr>
        <w:pStyle w:val="SubTitle2"/>
        <w:jc w:val="both"/>
        <w:rPr>
          <w:sz w:val="2"/>
        </w:rPr>
      </w:pPr>
    </w:p>
    <w:p w14:paraId="43A093A4" w14:textId="28DB8E18" w:rsidR="0007408E" w:rsidRPr="00807DAF" w:rsidRDefault="007857D2" w:rsidP="0F90D236">
      <w:pPr>
        <w:pStyle w:val="SubTitle1"/>
        <w:rPr>
          <w:sz w:val="32"/>
          <w:szCs w:val="32"/>
        </w:rPr>
      </w:pPr>
      <w:r>
        <w:br w:type="page"/>
      </w:r>
      <w:r w:rsidR="0F90D236" w:rsidRPr="0F90D236">
        <w:rPr>
          <w:sz w:val="32"/>
          <w:szCs w:val="32"/>
        </w:rPr>
        <w:lastRenderedPageBreak/>
        <w:t>NOTICE</w:t>
      </w:r>
    </w:p>
    <w:p w14:paraId="19357BF5" w14:textId="4D38A2D8" w:rsidR="006B52C0" w:rsidRPr="00807DAF" w:rsidRDefault="0F90D236" w:rsidP="0F90D236">
      <w:pPr>
        <w:pStyle w:val="Subtitle"/>
        <w:spacing w:after="240"/>
        <w:jc w:val="both"/>
        <w:rPr>
          <w:rFonts w:ascii="Times New Roman" w:hAnsi="Times New Roman"/>
          <w:b w:val="0"/>
          <w:sz w:val="22"/>
          <w:szCs w:val="22"/>
          <w:lang w:val="en-GB"/>
        </w:rPr>
      </w:pPr>
      <w:r w:rsidRPr="0F90D236">
        <w:rPr>
          <w:rFonts w:ascii="Times New Roman" w:hAnsi="Times New Roman"/>
          <w:b w:val="0"/>
          <w:sz w:val="22"/>
          <w:szCs w:val="22"/>
          <w:lang w:val="en-GB"/>
        </w:rPr>
        <w:t>This is a restricted call for proposals. In the first instance, only the concept notes (Part A of the grant application form) must be submitted for evaluation. Thereafter, lead applicants who have been pre-selected will be invited to submit a full application. After the evaluation of the full applications, an eligibility check will be performed for those which have been provisionally selected. Eligibility will be checked on the basis of the supporting documents requested by the contracting authority and the signed ‘declaration by the lead applicant’ sent together with the full application.</w:t>
      </w:r>
    </w:p>
    <w:p w14:paraId="67FB20BB" w14:textId="77777777" w:rsidR="00495849" w:rsidRPr="00807DAF" w:rsidRDefault="00495849" w:rsidP="00495849">
      <w:pPr>
        <w:sectPr w:rsidR="00495849" w:rsidRPr="00807DAF" w:rsidSect="00ED2366">
          <w:headerReference w:type="default" r:id="rId16"/>
          <w:footerReference w:type="default" r:id="rId17"/>
          <w:footerReference w:type="first" r:id="rId18"/>
          <w:pgSz w:w="11906" w:h="16838" w:code="9"/>
          <w:pgMar w:top="1021" w:right="1134" w:bottom="1021" w:left="1134" w:header="567" w:footer="545" w:gutter="0"/>
          <w:pgNumType w:start="1"/>
          <w:cols w:space="720"/>
          <w:titlePg/>
        </w:sectPr>
      </w:pPr>
    </w:p>
    <w:bookmarkStart w:id="0" w:name="_Hlk141971107" w:displacedByCustomXml="next"/>
    <w:sdt>
      <w:sdtPr>
        <w:id w:val="-1246794315"/>
        <w:docPartObj>
          <w:docPartGallery w:val="Table of Contents"/>
          <w:docPartUnique/>
        </w:docPartObj>
      </w:sdtPr>
      <w:sdtEndPr>
        <w:rPr>
          <w:b/>
          <w:bCs/>
          <w:noProof/>
        </w:rPr>
      </w:sdtEndPr>
      <w:sdtContent>
        <w:p w14:paraId="7F92C673" w14:textId="16E6AF1C" w:rsidR="00912AA1" w:rsidRDefault="00912AA1" w:rsidP="00912AA1">
          <w:pPr>
            <w:pageBreakBefore/>
            <w:spacing w:after="600"/>
            <w:jc w:val="center"/>
          </w:pPr>
          <w:r w:rsidRPr="0F90D236">
            <w:rPr>
              <w:sz w:val="32"/>
              <w:szCs w:val="32"/>
            </w:rPr>
            <w:t>Table of contents</w:t>
          </w:r>
        </w:p>
        <w:p w14:paraId="6E8A4604" w14:textId="0FBC14F4" w:rsidR="00F027AC" w:rsidRDefault="00912AA1">
          <w:pPr>
            <w:pStyle w:val="TOC1"/>
            <w:rPr>
              <w:rFonts w:asciiTheme="minorHAnsi" w:eastAsiaTheme="minorEastAsia" w:hAnsiTheme="minorHAnsi" w:cstheme="minorBidi"/>
              <w:b w:val="0"/>
              <w:caps w:val="0"/>
              <w:noProof/>
              <w:snapToGrid/>
              <w:szCs w:val="22"/>
              <w:lang w:eastAsia="en-GB"/>
            </w:rPr>
          </w:pPr>
          <w:r>
            <w:fldChar w:fldCharType="begin"/>
          </w:r>
          <w:r>
            <w:instrText xml:space="preserve"> TOC \o "1-3" \h \z \u </w:instrText>
          </w:r>
          <w:r>
            <w:fldChar w:fldCharType="separate"/>
          </w:r>
          <w:hyperlink w:anchor="_Toc145057259" w:history="1">
            <w:r w:rsidR="00F027AC" w:rsidRPr="00A34877">
              <w:rPr>
                <w:rStyle w:val="Hyperlink"/>
                <w:noProof/>
              </w:rPr>
              <w:t>1.</w:t>
            </w:r>
            <w:r w:rsidR="00F027AC">
              <w:rPr>
                <w:rFonts w:asciiTheme="minorHAnsi" w:eastAsiaTheme="minorEastAsia" w:hAnsiTheme="minorHAnsi" w:cstheme="minorBidi"/>
                <w:b w:val="0"/>
                <w:caps w:val="0"/>
                <w:noProof/>
                <w:snapToGrid/>
                <w:szCs w:val="22"/>
                <w:lang w:eastAsia="en-GB"/>
              </w:rPr>
              <w:tab/>
            </w:r>
            <w:r w:rsidR="00F027AC" w:rsidRPr="00A34877">
              <w:rPr>
                <w:rStyle w:val="Hyperlink"/>
                <w:noProof/>
              </w:rPr>
              <w:t>GRANT SCHEME FOR TüRKİYE-EU BUSINESS DIALOGUE II (TEBD-II)</w:t>
            </w:r>
            <w:r w:rsidR="00F027AC">
              <w:rPr>
                <w:noProof/>
                <w:webHidden/>
              </w:rPr>
              <w:tab/>
            </w:r>
            <w:r w:rsidR="00F027AC">
              <w:rPr>
                <w:noProof/>
                <w:webHidden/>
              </w:rPr>
              <w:fldChar w:fldCharType="begin"/>
            </w:r>
            <w:r w:rsidR="00F027AC">
              <w:rPr>
                <w:noProof/>
                <w:webHidden/>
              </w:rPr>
              <w:instrText xml:space="preserve"> PAGEREF _Toc145057259 \h </w:instrText>
            </w:r>
            <w:r w:rsidR="00F027AC">
              <w:rPr>
                <w:noProof/>
                <w:webHidden/>
              </w:rPr>
            </w:r>
            <w:r w:rsidR="00F027AC">
              <w:rPr>
                <w:noProof/>
                <w:webHidden/>
              </w:rPr>
              <w:fldChar w:fldCharType="separate"/>
            </w:r>
            <w:r w:rsidR="00F027AC">
              <w:rPr>
                <w:noProof/>
                <w:webHidden/>
              </w:rPr>
              <w:t>4</w:t>
            </w:r>
            <w:r w:rsidR="00F027AC">
              <w:rPr>
                <w:noProof/>
                <w:webHidden/>
              </w:rPr>
              <w:fldChar w:fldCharType="end"/>
            </w:r>
          </w:hyperlink>
        </w:p>
        <w:p w14:paraId="49ACF932" w14:textId="1B0EDAB6" w:rsidR="00F027AC" w:rsidRDefault="005A59A0">
          <w:pPr>
            <w:pStyle w:val="TOC2"/>
            <w:rPr>
              <w:rFonts w:asciiTheme="minorHAnsi" w:eastAsiaTheme="minorEastAsia" w:hAnsiTheme="minorHAnsi" w:cstheme="minorBidi"/>
              <w:noProof/>
              <w:snapToGrid/>
              <w:szCs w:val="22"/>
              <w:lang w:eastAsia="en-GB"/>
            </w:rPr>
          </w:pPr>
          <w:hyperlink w:anchor="_Toc145057260" w:history="1">
            <w:r w:rsidR="00F027AC" w:rsidRPr="00A34877">
              <w:rPr>
                <w:rStyle w:val="Hyperlink"/>
                <w:noProof/>
              </w:rPr>
              <w:t>1.1.</w:t>
            </w:r>
            <w:r w:rsidR="00F027AC">
              <w:rPr>
                <w:rFonts w:asciiTheme="minorHAnsi" w:eastAsiaTheme="minorEastAsia" w:hAnsiTheme="minorHAnsi" w:cstheme="minorBidi"/>
                <w:noProof/>
                <w:snapToGrid/>
                <w:szCs w:val="22"/>
                <w:lang w:eastAsia="en-GB"/>
              </w:rPr>
              <w:tab/>
            </w:r>
            <w:r w:rsidR="00F027AC" w:rsidRPr="00A34877">
              <w:rPr>
                <w:rStyle w:val="Hyperlink"/>
                <w:noProof/>
              </w:rPr>
              <w:t>Background</w:t>
            </w:r>
            <w:r w:rsidR="00F027AC">
              <w:rPr>
                <w:noProof/>
                <w:webHidden/>
              </w:rPr>
              <w:tab/>
            </w:r>
            <w:r w:rsidR="00F027AC">
              <w:rPr>
                <w:noProof/>
                <w:webHidden/>
              </w:rPr>
              <w:fldChar w:fldCharType="begin"/>
            </w:r>
            <w:r w:rsidR="00F027AC">
              <w:rPr>
                <w:noProof/>
                <w:webHidden/>
              </w:rPr>
              <w:instrText xml:space="preserve"> PAGEREF _Toc145057260 \h </w:instrText>
            </w:r>
            <w:r w:rsidR="00F027AC">
              <w:rPr>
                <w:noProof/>
                <w:webHidden/>
              </w:rPr>
            </w:r>
            <w:r w:rsidR="00F027AC">
              <w:rPr>
                <w:noProof/>
                <w:webHidden/>
              </w:rPr>
              <w:fldChar w:fldCharType="separate"/>
            </w:r>
            <w:r w:rsidR="00F027AC">
              <w:rPr>
                <w:noProof/>
                <w:webHidden/>
              </w:rPr>
              <w:t>4</w:t>
            </w:r>
            <w:r w:rsidR="00F027AC">
              <w:rPr>
                <w:noProof/>
                <w:webHidden/>
              </w:rPr>
              <w:fldChar w:fldCharType="end"/>
            </w:r>
          </w:hyperlink>
        </w:p>
        <w:p w14:paraId="0BE0C2D1" w14:textId="7EF2A419" w:rsidR="00F027AC" w:rsidRDefault="005A59A0">
          <w:pPr>
            <w:pStyle w:val="TOC2"/>
            <w:rPr>
              <w:rFonts w:asciiTheme="minorHAnsi" w:eastAsiaTheme="minorEastAsia" w:hAnsiTheme="minorHAnsi" w:cstheme="minorBidi"/>
              <w:noProof/>
              <w:snapToGrid/>
              <w:szCs w:val="22"/>
              <w:lang w:eastAsia="en-GB"/>
            </w:rPr>
          </w:pPr>
          <w:hyperlink w:anchor="_Toc145057261" w:history="1">
            <w:r w:rsidR="00F027AC" w:rsidRPr="00A34877">
              <w:rPr>
                <w:rStyle w:val="Hyperlink"/>
                <w:noProof/>
              </w:rPr>
              <w:t>1.2.</w:t>
            </w:r>
            <w:r w:rsidR="00F027AC">
              <w:rPr>
                <w:rFonts w:asciiTheme="minorHAnsi" w:eastAsiaTheme="minorEastAsia" w:hAnsiTheme="minorHAnsi" w:cstheme="minorBidi"/>
                <w:noProof/>
                <w:snapToGrid/>
                <w:szCs w:val="22"/>
                <w:lang w:eastAsia="en-GB"/>
              </w:rPr>
              <w:tab/>
            </w:r>
            <w:r w:rsidR="00F027AC" w:rsidRPr="00A34877">
              <w:rPr>
                <w:rStyle w:val="Hyperlink"/>
                <w:noProof/>
              </w:rPr>
              <w:t>Objectives of the programme and priority issues</w:t>
            </w:r>
            <w:r w:rsidR="00F027AC">
              <w:rPr>
                <w:noProof/>
                <w:webHidden/>
              </w:rPr>
              <w:tab/>
            </w:r>
            <w:r w:rsidR="00F027AC">
              <w:rPr>
                <w:noProof/>
                <w:webHidden/>
              </w:rPr>
              <w:fldChar w:fldCharType="begin"/>
            </w:r>
            <w:r w:rsidR="00F027AC">
              <w:rPr>
                <w:noProof/>
                <w:webHidden/>
              </w:rPr>
              <w:instrText xml:space="preserve"> PAGEREF _Toc145057261 \h </w:instrText>
            </w:r>
            <w:r w:rsidR="00F027AC">
              <w:rPr>
                <w:noProof/>
                <w:webHidden/>
              </w:rPr>
            </w:r>
            <w:r w:rsidR="00F027AC">
              <w:rPr>
                <w:noProof/>
                <w:webHidden/>
              </w:rPr>
              <w:fldChar w:fldCharType="separate"/>
            </w:r>
            <w:r w:rsidR="00F027AC">
              <w:rPr>
                <w:noProof/>
                <w:webHidden/>
              </w:rPr>
              <w:t>5</w:t>
            </w:r>
            <w:r w:rsidR="00F027AC">
              <w:rPr>
                <w:noProof/>
                <w:webHidden/>
              </w:rPr>
              <w:fldChar w:fldCharType="end"/>
            </w:r>
          </w:hyperlink>
        </w:p>
        <w:p w14:paraId="489E82A0" w14:textId="2BCCE138" w:rsidR="00F027AC" w:rsidRDefault="005A59A0">
          <w:pPr>
            <w:pStyle w:val="TOC2"/>
            <w:rPr>
              <w:rFonts w:asciiTheme="minorHAnsi" w:eastAsiaTheme="minorEastAsia" w:hAnsiTheme="minorHAnsi" w:cstheme="minorBidi"/>
              <w:noProof/>
              <w:snapToGrid/>
              <w:szCs w:val="22"/>
              <w:lang w:eastAsia="en-GB"/>
            </w:rPr>
          </w:pPr>
          <w:hyperlink w:anchor="_Toc145057262" w:history="1">
            <w:r w:rsidR="00F027AC" w:rsidRPr="00A34877">
              <w:rPr>
                <w:rStyle w:val="Hyperlink"/>
                <w:noProof/>
              </w:rPr>
              <w:t>1.3.</w:t>
            </w:r>
            <w:r w:rsidR="00F027AC">
              <w:rPr>
                <w:rFonts w:asciiTheme="minorHAnsi" w:eastAsiaTheme="minorEastAsia" w:hAnsiTheme="minorHAnsi" w:cstheme="minorBidi"/>
                <w:noProof/>
                <w:snapToGrid/>
                <w:szCs w:val="22"/>
                <w:lang w:eastAsia="en-GB"/>
              </w:rPr>
              <w:tab/>
            </w:r>
            <w:r w:rsidR="00F027AC" w:rsidRPr="00A34877">
              <w:rPr>
                <w:rStyle w:val="Hyperlink"/>
                <w:noProof/>
              </w:rPr>
              <w:t>Financial allocation provided by the contracting authority</w:t>
            </w:r>
            <w:r w:rsidR="00F027AC">
              <w:rPr>
                <w:noProof/>
                <w:webHidden/>
              </w:rPr>
              <w:tab/>
            </w:r>
            <w:r w:rsidR="00F027AC">
              <w:rPr>
                <w:noProof/>
                <w:webHidden/>
              </w:rPr>
              <w:fldChar w:fldCharType="begin"/>
            </w:r>
            <w:r w:rsidR="00F027AC">
              <w:rPr>
                <w:noProof/>
                <w:webHidden/>
              </w:rPr>
              <w:instrText xml:space="preserve"> PAGEREF _Toc145057262 \h </w:instrText>
            </w:r>
            <w:r w:rsidR="00F027AC">
              <w:rPr>
                <w:noProof/>
                <w:webHidden/>
              </w:rPr>
            </w:r>
            <w:r w:rsidR="00F027AC">
              <w:rPr>
                <w:noProof/>
                <w:webHidden/>
              </w:rPr>
              <w:fldChar w:fldCharType="separate"/>
            </w:r>
            <w:r w:rsidR="00F027AC">
              <w:rPr>
                <w:noProof/>
                <w:webHidden/>
              </w:rPr>
              <w:t>5</w:t>
            </w:r>
            <w:r w:rsidR="00F027AC">
              <w:rPr>
                <w:noProof/>
                <w:webHidden/>
              </w:rPr>
              <w:fldChar w:fldCharType="end"/>
            </w:r>
          </w:hyperlink>
        </w:p>
        <w:p w14:paraId="0405FE88" w14:textId="73EB027E" w:rsidR="00F027AC" w:rsidRDefault="005A59A0">
          <w:pPr>
            <w:pStyle w:val="TOC1"/>
            <w:rPr>
              <w:rFonts w:asciiTheme="minorHAnsi" w:eastAsiaTheme="minorEastAsia" w:hAnsiTheme="minorHAnsi" w:cstheme="minorBidi"/>
              <w:b w:val="0"/>
              <w:caps w:val="0"/>
              <w:noProof/>
              <w:snapToGrid/>
              <w:szCs w:val="22"/>
              <w:lang w:eastAsia="en-GB"/>
            </w:rPr>
          </w:pPr>
          <w:hyperlink w:anchor="_Toc145057263" w:history="1">
            <w:r w:rsidR="00F027AC" w:rsidRPr="00A34877">
              <w:rPr>
                <w:rStyle w:val="Hyperlink"/>
                <w:noProof/>
              </w:rPr>
              <w:t>2.</w:t>
            </w:r>
            <w:r w:rsidR="00F027AC">
              <w:rPr>
                <w:rFonts w:asciiTheme="minorHAnsi" w:eastAsiaTheme="minorEastAsia" w:hAnsiTheme="minorHAnsi" w:cstheme="minorBidi"/>
                <w:b w:val="0"/>
                <w:caps w:val="0"/>
                <w:noProof/>
                <w:snapToGrid/>
                <w:szCs w:val="22"/>
                <w:lang w:eastAsia="en-GB"/>
              </w:rPr>
              <w:tab/>
            </w:r>
            <w:r w:rsidR="00F027AC" w:rsidRPr="00A34877">
              <w:rPr>
                <w:rStyle w:val="Hyperlink"/>
                <w:noProof/>
              </w:rPr>
              <w:t>Rules FOR thIS call for proposalS</w:t>
            </w:r>
            <w:r w:rsidR="00F027AC">
              <w:rPr>
                <w:noProof/>
                <w:webHidden/>
              </w:rPr>
              <w:tab/>
            </w:r>
            <w:r w:rsidR="00F027AC">
              <w:rPr>
                <w:noProof/>
                <w:webHidden/>
              </w:rPr>
              <w:fldChar w:fldCharType="begin"/>
            </w:r>
            <w:r w:rsidR="00F027AC">
              <w:rPr>
                <w:noProof/>
                <w:webHidden/>
              </w:rPr>
              <w:instrText xml:space="preserve"> PAGEREF _Toc145057263 \h </w:instrText>
            </w:r>
            <w:r w:rsidR="00F027AC">
              <w:rPr>
                <w:noProof/>
                <w:webHidden/>
              </w:rPr>
            </w:r>
            <w:r w:rsidR="00F027AC">
              <w:rPr>
                <w:noProof/>
                <w:webHidden/>
              </w:rPr>
              <w:fldChar w:fldCharType="separate"/>
            </w:r>
            <w:r w:rsidR="00F027AC">
              <w:rPr>
                <w:noProof/>
                <w:webHidden/>
              </w:rPr>
              <w:t>6</w:t>
            </w:r>
            <w:r w:rsidR="00F027AC">
              <w:rPr>
                <w:noProof/>
                <w:webHidden/>
              </w:rPr>
              <w:fldChar w:fldCharType="end"/>
            </w:r>
          </w:hyperlink>
        </w:p>
        <w:p w14:paraId="7502690A" w14:textId="10FEB8F2" w:rsidR="00F027AC" w:rsidRDefault="005A59A0">
          <w:pPr>
            <w:pStyle w:val="TOC2"/>
            <w:rPr>
              <w:rFonts w:asciiTheme="minorHAnsi" w:eastAsiaTheme="minorEastAsia" w:hAnsiTheme="minorHAnsi" w:cstheme="minorBidi"/>
              <w:noProof/>
              <w:snapToGrid/>
              <w:szCs w:val="22"/>
              <w:lang w:eastAsia="en-GB"/>
            </w:rPr>
          </w:pPr>
          <w:hyperlink w:anchor="_Toc145057264" w:history="1">
            <w:r w:rsidR="00F027AC" w:rsidRPr="00A34877">
              <w:rPr>
                <w:rStyle w:val="Hyperlink"/>
                <w:noProof/>
              </w:rPr>
              <w:t>2.1.</w:t>
            </w:r>
            <w:r w:rsidR="00F027AC">
              <w:rPr>
                <w:rFonts w:asciiTheme="minorHAnsi" w:eastAsiaTheme="minorEastAsia" w:hAnsiTheme="minorHAnsi" w:cstheme="minorBidi"/>
                <w:noProof/>
                <w:snapToGrid/>
                <w:szCs w:val="22"/>
                <w:lang w:eastAsia="en-GB"/>
              </w:rPr>
              <w:tab/>
            </w:r>
            <w:r w:rsidR="00F027AC" w:rsidRPr="00A34877">
              <w:rPr>
                <w:rStyle w:val="Hyperlink"/>
                <w:noProof/>
              </w:rPr>
              <w:t>Eligibility criteria</w:t>
            </w:r>
            <w:r w:rsidR="00F027AC">
              <w:rPr>
                <w:noProof/>
                <w:webHidden/>
              </w:rPr>
              <w:tab/>
            </w:r>
            <w:r w:rsidR="00F027AC">
              <w:rPr>
                <w:noProof/>
                <w:webHidden/>
              </w:rPr>
              <w:fldChar w:fldCharType="begin"/>
            </w:r>
            <w:r w:rsidR="00F027AC">
              <w:rPr>
                <w:noProof/>
                <w:webHidden/>
              </w:rPr>
              <w:instrText xml:space="preserve"> PAGEREF _Toc145057264 \h </w:instrText>
            </w:r>
            <w:r w:rsidR="00F027AC">
              <w:rPr>
                <w:noProof/>
                <w:webHidden/>
              </w:rPr>
            </w:r>
            <w:r w:rsidR="00F027AC">
              <w:rPr>
                <w:noProof/>
                <w:webHidden/>
              </w:rPr>
              <w:fldChar w:fldCharType="separate"/>
            </w:r>
            <w:r w:rsidR="00F027AC">
              <w:rPr>
                <w:noProof/>
                <w:webHidden/>
              </w:rPr>
              <w:t>6</w:t>
            </w:r>
            <w:r w:rsidR="00F027AC">
              <w:rPr>
                <w:noProof/>
                <w:webHidden/>
              </w:rPr>
              <w:fldChar w:fldCharType="end"/>
            </w:r>
          </w:hyperlink>
        </w:p>
        <w:p w14:paraId="7884A954" w14:textId="763D4561" w:rsidR="00F027AC" w:rsidRDefault="005A59A0">
          <w:pPr>
            <w:pStyle w:val="TOC3"/>
            <w:rPr>
              <w:rFonts w:asciiTheme="minorHAnsi" w:eastAsiaTheme="minorEastAsia" w:hAnsiTheme="minorHAnsi" w:cstheme="minorBidi"/>
              <w:snapToGrid/>
              <w:sz w:val="22"/>
              <w:szCs w:val="22"/>
              <w:lang w:eastAsia="en-GB"/>
            </w:rPr>
          </w:pPr>
          <w:hyperlink w:anchor="_Toc145057265" w:history="1">
            <w:r w:rsidR="00F027AC" w:rsidRPr="00A34877">
              <w:rPr>
                <w:rStyle w:val="Hyperlink"/>
              </w:rPr>
              <w:t>2.1.1.</w:t>
            </w:r>
            <w:r w:rsidR="00F027AC">
              <w:rPr>
                <w:rFonts w:asciiTheme="minorHAnsi" w:eastAsiaTheme="minorEastAsia" w:hAnsiTheme="minorHAnsi" w:cstheme="minorBidi"/>
                <w:snapToGrid/>
                <w:sz w:val="22"/>
                <w:szCs w:val="22"/>
                <w:lang w:eastAsia="en-GB"/>
              </w:rPr>
              <w:tab/>
            </w:r>
            <w:r w:rsidR="00F027AC" w:rsidRPr="00A34877">
              <w:rPr>
                <w:rStyle w:val="Hyperlink"/>
              </w:rPr>
              <w:t>Eligibility of applicants (i.e. lead applicant and co-applicant(s))</w:t>
            </w:r>
            <w:r w:rsidR="00F027AC">
              <w:rPr>
                <w:webHidden/>
              </w:rPr>
              <w:tab/>
            </w:r>
            <w:r w:rsidR="00F027AC">
              <w:rPr>
                <w:webHidden/>
              </w:rPr>
              <w:fldChar w:fldCharType="begin"/>
            </w:r>
            <w:r w:rsidR="00F027AC">
              <w:rPr>
                <w:webHidden/>
              </w:rPr>
              <w:instrText xml:space="preserve"> PAGEREF _Toc145057265 \h </w:instrText>
            </w:r>
            <w:r w:rsidR="00F027AC">
              <w:rPr>
                <w:webHidden/>
              </w:rPr>
            </w:r>
            <w:r w:rsidR="00F027AC">
              <w:rPr>
                <w:webHidden/>
              </w:rPr>
              <w:fldChar w:fldCharType="separate"/>
            </w:r>
            <w:r w:rsidR="00F027AC">
              <w:rPr>
                <w:webHidden/>
              </w:rPr>
              <w:t>6</w:t>
            </w:r>
            <w:r w:rsidR="00F027AC">
              <w:rPr>
                <w:webHidden/>
              </w:rPr>
              <w:fldChar w:fldCharType="end"/>
            </w:r>
          </w:hyperlink>
        </w:p>
        <w:p w14:paraId="1460EFBB" w14:textId="7F1633F4" w:rsidR="00F027AC" w:rsidRDefault="005A59A0">
          <w:pPr>
            <w:pStyle w:val="TOC3"/>
            <w:rPr>
              <w:rFonts w:asciiTheme="minorHAnsi" w:eastAsiaTheme="minorEastAsia" w:hAnsiTheme="minorHAnsi" w:cstheme="minorBidi"/>
              <w:snapToGrid/>
              <w:sz w:val="22"/>
              <w:szCs w:val="22"/>
              <w:lang w:eastAsia="en-GB"/>
            </w:rPr>
          </w:pPr>
          <w:hyperlink w:anchor="_Toc145057266" w:history="1">
            <w:r w:rsidR="00F027AC" w:rsidRPr="00A34877">
              <w:rPr>
                <w:rStyle w:val="Hyperlink"/>
              </w:rPr>
              <w:t>2.1.2.</w:t>
            </w:r>
            <w:r w:rsidR="00F027AC">
              <w:rPr>
                <w:rFonts w:asciiTheme="minorHAnsi" w:eastAsiaTheme="minorEastAsia" w:hAnsiTheme="minorHAnsi" w:cstheme="minorBidi"/>
                <w:snapToGrid/>
                <w:sz w:val="22"/>
                <w:szCs w:val="22"/>
                <w:lang w:eastAsia="en-GB"/>
              </w:rPr>
              <w:tab/>
            </w:r>
            <w:r w:rsidR="00F027AC" w:rsidRPr="00A34877">
              <w:rPr>
                <w:rStyle w:val="Hyperlink"/>
              </w:rPr>
              <w:t>Affiliated entities</w:t>
            </w:r>
            <w:r w:rsidR="00F027AC">
              <w:rPr>
                <w:webHidden/>
              </w:rPr>
              <w:tab/>
            </w:r>
            <w:r w:rsidR="00F027AC">
              <w:rPr>
                <w:webHidden/>
              </w:rPr>
              <w:fldChar w:fldCharType="begin"/>
            </w:r>
            <w:r w:rsidR="00F027AC">
              <w:rPr>
                <w:webHidden/>
              </w:rPr>
              <w:instrText xml:space="preserve"> PAGEREF _Toc145057266 \h </w:instrText>
            </w:r>
            <w:r w:rsidR="00F027AC">
              <w:rPr>
                <w:webHidden/>
              </w:rPr>
            </w:r>
            <w:r w:rsidR="00F027AC">
              <w:rPr>
                <w:webHidden/>
              </w:rPr>
              <w:fldChar w:fldCharType="separate"/>
            </w:r>
            <w:r w:rsidR="00F027AC">
              <w:rPr>
                <w:webHidden/>
              </w:rPr>
              <w:t>8</w:t>
            </w:r>
            <w:r w:rsidR="00F027AC">
              <w:rPr>
                <w:webHidden/>
              </w:rPr>
              <w:fldChar w:fldCharType="end"/>
            </w:r>
          </w:hyperlink>
        </w:p>
        <w:p w14:paraId="65D9A848" w14:textId="52E69948" w:rsidR="00F027AC" w:rsidRDefault="005A59A0">
          <w:pPr>
            <w:pStyle w:val="TOC3"/>
            <w:rPr>
              <w:rFonts w:asciiTheme="minorHAnsi" w:eastAsiaTheme="minorEastAsia" w:hAnsiTheme="minorHAnsi" w:cstheme="minorBidi"/>
              <w:snapToGrid/>
              <w:sz w:val="22"/>
              <w:szCs w:val="22"/>
              <w:lang w:eastAsia="en-GB"/>
            </w:rPr>
          </w:pPr>
          <w:hyperlink w:anchor="_Toc145057267" w:history="1">
            <w:r w:rsidR="00F027AC" w:rsidRPr="00A34877">
              <w:rPr>
                <w:rStyle w:val="Hyperlink"/>
              </w:rPr>
              <w:t>2.1.3.</w:t>
            </w:r>
            <w:r w:rsidR="00F027AC">
              <w:rPr>
                <w:rFonts w:asciiTheme="minorHAnsi" w:eastAsiaTheme="minorEastAsia" w:hAnsiTheme="minorHAnsi" w:cstheme="minorBidi"/>
                <w:snapToGrid/>
                <w:sz w:val="22"/>
                <w:szCs w:val="22"/>
                <w:lang w:eastAsia="en-GB"/>
              </w:rPr>
              <w:tab/>
            </w:r>
            <w:r w:rsidR="00F027AC" w:rsidRPr="00A34877">
              <w:rPr>
                <w:rStyle w:val="Hyperlink"/>
              </w:rPr>
              <w:t>Associates and contractors</w:t>
            </w:r>
            <w:r w:rsidR="00F027AC">
              <w:rPr>
                <w:webHidden/>
              </w:rPr>
              <w:tab/>
            </w:r>
            <w:r w:rsidR="00F027AC">
              <w:rPr>
                <w:webHidden/>
              </w:rPr>
              <w:fldChar w:fldCharType="begin"/>
            </w:r>
            <w:r w:rsidR="00F027AC">
              <w:rPr>
                <w:webHidden/>
              </w:rPr>
              <w:instrText xml:space="preserve"> PAGEREF _Toc145057267 \h </w:instrText>
            </w:r>
            <w:r w:rsidR="00F027AC">
              <w:rPr>
                <w:webHidden/>
              </w:rPr>
            </w:r>
            <w:r w:rsidR="00F027AC">
              <w:rPr>
                <w:webHidden/>
              </w:rPr>
              <w:fldChar w:fldCharType="separate"/>
            </w:r>
            <w:r w:rsidR="00F027AC">
              <w:rPr>
                <w:webHidden/>
              </w:rPr>
              <w:t>9</w:t>
            </w:r>
            <w:r w:rsidR="00F027AC">
              <w:rPr>
                <w:webHidden/>
              </w:rPr>
              <w:fldChar w:fldCharType="end"/>
            </w:r>
          </w:hyperlink>
        </w:p>
        <w:p w14:paraId="6A19B9B4" w14:textId="2F6A9EA9" w:rsidR="00F027AC" w:rsidRDefault="005A59A0">
          <w:pPr>
            <w:pStyle w:val="TOC3"/>
            <w:rPr>
              <w:rFonts w:asciiTheme="minorHAnsi" w:eastAsiaTheme="minorEastAsia" w:hAnsiTheme="minorHAnsi" w:cstheme="minorBidi"/>
              <w:snapToGrid/>
              <w:sz w:val="22"/>
              <w:szCs w:val="22"/>
              <w:lang w:eastAsia="en-GB"/>
            </w:rPr>
          </w:pPr>
          <w:hyperlink w:anchor="_Toc145057268" w:history="1">
            <w:r w:rsidR="00F027AC" w:rsidRPr="00A34877">
              <w:rPr>
                <w:rStyle w:val="Hyperlink"/>
              </w:rPr>
              <w:t>2.1.4.</w:t>
            </w:r>
            <w:r w:rsidR="00F027AC">
              <w:rPr>
                <w:rFonts w:asciiTheme="minorHAnsi" w:eastAsiaTheme="minorEastAsia" w:hAnsiTheme="minorHAnsi" w:cstheme="minorBidi"/>
                <w:snapToGrid/>
                <w:sz w:val="22"/>
                <w:szCs w:val="22"/>
                <w:lang w:eastAsia="en-GB"/>
              </w:rPr>
              <w:tab/>
            </w:r>
            <w:r w:rsidR="00F027AC" w:rsidRPr="00A34877">
              <w:rPr>
                <w:rStyle w:val="Hyperlink"/>
              </w:rPr>
              <w:t>Eligible actions: actions for which an application may be made</w:t>
            </w:r>
            <w:r w:rsidR="00F027AC">
              <w:rPr>
                <w:webHidden/>
              </w:rPr>
              <w:tab/>
            </w:r>
            <w:r w:rsidR="00F027AC">
              <w:rPr>
                <w:webHidden/>
              </w:rPr>
              <w:fldChar w:fldCharType="begin"/>
            </w:r>
            <w:r w:rsidR="00F027AC">
              <w:rPr>
                <w:webHidden/>
              </w:rPr>
              <w:instrText xml:space="preserve"> PAGEREF _Toc145057268 \h </w:instrText>
            </w:r>
            <w:r w:rsidR="00F027AC">
              <w:rPr>
                <w:webHidden/>
              </w:rPr>
            </w:r>
            <w:r w:rsidR="00F027AC">
              <w:rPr>
                <w:webHidden/>
              </w:rPr>
              <w:fldChar w:fldCharType="separate"/>
            </w:r>
            <w:r w:rsidR="00F027AC">
              <w:rPr>
                <w:webHidden/>
              </w:rPr>
              <w:t>9</w:t>
            </w:r>
            <w:r w:rsidR="00F027AC">
              <w:rPr>
                <w:webHidden/>
              </w:rPr>
              <w:fldChar w:fldCharType="end"/>
            </w:r>
          </w:hyperlink>
        </w:p>
        <w:p w14:paraId="77F62FA4" w14:textId="4525BF63" w:rsidR="00F027AC" w:rsidRDefault="005A59A0">
          <w:pPr>
            <w:pStyle w:val="TOC3"/>
            <w:rPr>
              <w:rFonts w:asciiTheme="minorHAnsi" w:eastAsiaTheme="minorEastAsia" w:hAnsiTheme="minorHAnsi" w:cstheme="minorBidi"/>
              <w:snapToGrid/>
              <w:sz w:val="22"/>
              <w:szCs w:val="22"/>
              <w:lang w:eastAsia="en-GB"/>
            </w:rPr>
          </w:pPr>
          <w:hyperlink w:anchor="_Toc145057269" w:history="1">
            <w:r w:rsidR="00F027AC" w:rsidRPr="00A34877">
              <w:rPr>
                <w:rStyle w:val="Hyperlink"/>
              </w:rPr>
              <w:t>2.1.5.</w:t>
            </w:r>
            <w:r w:rsidR="00F027AC">
              <w:rPr>
                <w:rFonts w:asciiTheme="minorHAnsi" w:eastAsiaTheme="minorEastAsia" w:hAnsiTheme="minorHAnsi" w:cstheme="minorBidi"/>
                <w:snapToGrid/>
                <w:sz w:val="22"/>
                <w:szCs w:val="22"/>
                <w:lang w:eastAsia="en-GB"/>
              </w:rPr>
              <w:tab/>
            </w:r>
            <w:r w:rsidR="00F027AC" w:rsidRPr="00A34877">
              <w:rPr>
                <w:rStyle w:val="Hyperlink"/>
              </w:rPr>
              <w:t>Eligibility of costs: costs that can be included</w:t>
            </w:r>
            <w:r w:rsidR="00F027AC">
              <w:rPr>
                <w:webHidden/>
              </w:rPr>
              <w:tab/>
            </w:r>
            <w:r w:rsidR="00F027AC">
              <w:rPr>
                <w:webHidden/>
              </w:rPr>
              <w:fldChar w:fldCharType="begin"/>
            </w:r>
            <w:r w:rsidR="00F027AC">
              <w:rPr>
                <w:webHidden/>
              </w:rPr>
              <w:instrText xml:space="preserve"> PAGEREF _Toc145057269 \h </w:instrText>
            </w:r>
            <w:r w:rsidR="00F027AC">
              <w:rPr>
                <w:webHidden/>
              </w:rPr>
            </w:r>
            <w:r w:rsidR="00F027AC">
              <w:rPr>
                <w:webHidden/>
              </w:rPr>
              <w:fldChar w:fldCharType="separate"/>
            </w:r>
            <w:r w:rsidR="00F027AC">
              <w:rPr>
                <w:webHidden/>
              </w:rPr>
              <w:t>13</w:t>
            </w:r>
            <w:r w:rsidR="00F027AC">
              <w:rPr>
                <w:webHidden/>
              </w:rPr>
              <w:fldChar w:fldCharType="end"/>
            </w:r>
          </w:hyperlink>
        </w:p>
        <w:p w14:paraId="3A8E8D15" w14:textId="5E381935" w:rsidR="00F027AC" w:rsidRDefault="005A59A0">
          <w:pPr>
            <w:pStyle w:val="TOC3"/>
            <w:rPr>
              <w:rFonts w:asciiTheme="minorHAnsi" w:eastAsiaTheme="minorEastAsia" w:hAnsiTheme="minorHAnsi" w:cstheme="minorBidi"/>
              <w:snapToGrid/>
              <w:sz w:val="22"/>
              <w:szCs w:val="22"/>
              <w:lang w:eastAsia="en-GB"/>
            </w:rPr>
          </w:pPr>
          <w:hyperlink w:anchor="_Toc145057270" w:history="1">
            <w:r w:rsidR="00F027AC" w:rsidRPr="00A34877">
              <w:rPr>
                <w:rStyle w:val="Hyperlink"/>
              </w:rPr>
              <w:t>2.1.6.</w:t>
            </w:r>
            <w:r w:rsidR="00F027AC">
              <w:rPr>
                <w:rFonts w:asciiTheme="minorHAnsi" w:eastAsiaTheme="minorEastAsia" w:hAnsiTheme="minorHAnsi" w:cstheme="minorBidi"/>
                <w:snapToGrid/>
                <w:sz w:val="22"/>
                <w:szCs w:val="22"/>
                <w:lang w:eastAsia="en-GB"/>
              </w:rPr>
              <w:tab/>
            </w:r>
            <w:r w:rsidR="00F027AC" w:rsidRPr="00A34877">
              <w:rPr>
                <w:rStyle w:val="Hyperlink"/>
              </w:rPr>
              <w:t>Ethics clauses and Code of Conduct</w:t>
            </w:r>
            <w:r w:rsidR="00F027AC">
              <w:rPr>
                <w:webHidden/>
              </w:rPr>
              <w:tab/>
            </w:r>
            <w:r w:rsidR="00F027AC">
              <w:rPr>
                <w:webHidden/>
              </w:rPr>
              <w:fldChar w:fldCharType="begin"/>
            </w:r>
            <w:r w:rsidR="00F027AC">
              <w:rPr>
                <w:webHidden/>
              </w:rPr>
              <w:instrText xml:space="preserve"> PAGEREF _Toc145057270 \h </w:instrText>
            </w:r>
            <w:r w:rsidR="00F027AC">
              <w:rPr>
                <w:webHidden/>
              </w:rPr>
            </w:r>
            <w:r w:rsidR="00F027AC">
              <w:rPr>
                <w:webHidden/>
              </w:rPr>
              <w:fldChar w:fldCharType="separate"/>
            </w:r>
            <w:r w:rsidR="00F027AC">
              <w:rPr>
                <w:webHidden/>
              </w:rPr>
              <w:t>16</w:t>
            </w:r>
            <w:r w:rsidR="00F027AC">
              <w:rPr>
                <w:webHidden/>
              </w:rPr>
              <w:fldChar w:fldCharType="end"/>
            </w:r>
          </w:hyperlink>
        </w:p>
        <w:p w14:paraId="09C724B1" w14:textId="2CD307F2" w:rsidR="00F027AC" w:rsidRDefault="005A59A0">
          <w:pPr>
            <w:pStyle w:val="TOC2"/>
            <w:rPr>
              <w:rFonts w:asciiTheme="minorHAnsi" w:eastAsiaTheme="minorEastAsia" w:hAnsiTheme="minorHAnsi" w:cstheme="minorBidi"/>
              <w:noProof/>
              <w:snapToGrid/>
              <w:szCs w:val="22"/>
              <w:lang w:eastAsia="en-GB"/>
            </w:rPr>
          </w:pPr>
          <w:hyperlink w:anchor="_Toc145057271" w:history="1">
            <w:r w:rsidR="00F027AC" w:rsidRPr="00A34877">
              <w:rPr>
                <w:rStyle w:val="Hyperlink"/>
                <w:noProof/>
              </w:rPr>
              <w:t>2.2.</w:t>
            </w:r>
            <w:r w:rsidR="00F027AC">
              <w:rPr>
                <w:rFonts w:asciiTheme="minorHAnsi" w:eastAsiaTheme="minorEastAsia" w:hAnsiTheme="minorHAnsi" w:cstheme="minorBidi"/>
                <w:noProof/>
                <w:snapToGrid/>
                <w:szCs w:val="22"/>
                <w:lang w:eastAsia="en-GB"/>
              </w:rPr>
              <w:tab/>
            </w:r>
            <w:r w:rsidR="00F027AC" w:rsidRPr="00A34877">
              <w:rPr>
                <w:rStyle w:val="Hyperlink"/>
                <w:noProof/>
              </w:rPr>
              <w:t>How to apply and the procedures to follow</w:t>
            </w:r>
            <w:r w:rsidR="00F027AC">
              <w:rPr>
                <w:noProof/>
                <w:webHidden/>
              </w:rPr>
              <w:tab/>
            </w:r>
            <w:r w:rsidR="00F027AC">
              <w:rPr>
                <w:noProof/>
                <w:webHidden/>
              </w:rPr>
              <w:fldChar w:fldCharType="begin"/>
            </w:r>
            <w:r w:rsidR="00F027AC">
              <w:rPr>
                <w:noProof/>
                <w:webHidden/>
              </w:rPr>
              <w:instrText xml:space="preserve"> PAGEREF _Toc145057271 \h </w:instrText>
            </w:r>
            <w:r w:rsidR="00F027AC">
              <w:rPr>
                <w:noProof/>
                <w:webHidden/>
              </w:rPr>
            </w:r>
            <w:r w:rsidR="00F027AC">
              <w:rPr>
                <w:noProof/>
                <w:webHidden/>
              </w:rPr>
              <w:fldChar w:fldCharType="separate"/>
            </w:r>
            <w:r w:rsidR="00F027AC">
              <w:rPr>
                <w:noProof/>
                <w:webHidden/>
              </w:rPr>
              <w:t>17</w:t>
            </w:r>
            <w:r w:rsidR="00F027AC">
              <w:rPr>
                <w:noProof/>
                <w:webHidden/>
              </w:rPr>
              <w:fldChar w:fldCharType="end"/>
            </w:r>
          </w:hyperlink>
        </w:p>
        <w:p w14:paraId="37D74769" w14:textId="051302E6" w:rsidR="00F027AC" w:rsidRDefault="005A59A0">
          <w:pPr>
            <w:pStyle w:val="TOC3"/>
            <w:rPr>
              <w:rFonts w:asciiTheme="minorHAnsi" w:eastAsiaTheme="minorEastAsia" w:hAnsiTheme="minorHAnsi" w:cstheme="minorBidi"/>
              <w:snapToGrid/>
              <w:sz w:val="22"/>
              <w:szCs w:val="22"/>
              <w:lang w:eastAsia="en-GB"/>
            </w:rPr>
          </w:pPr>
          <w:hyperlink w:anchor="_Toc145057272" w:history="1">
            <w:r w:rsidR="00F027AC" w:rsidRPr="00A34877">
              <w:rPr>
                <w:rStyle w:val="Hyperlink"/>
              </w:rPr>
              <w:t>2.2.1.</w:t>
            </w:r>
            <w:r w:rsidR="00F027AC">
              <w:rPr>
                <w:rFonts w:asciiTheme="minorHAnsi" w:eastAsiaTheme="minorEastAsia" w:hAnsiTheme="minorHAnsi" w:cstheme="minorBidi"/>
                <w:snapToGrid/>
                <w:sz w:val="22"/>
                <w:szCs w:val="22"/>
                <w:lang w:eastAsia="en-GB"/>
              </w:rPr>
              <w:tab/>
            </w:r>
            <w:r w:rsidR="00F027AC" w:rsidRPr="00A34877">
              <w:rPr>
                <w:rStyle w:val="Hyperlink"/>
              </w:rPr>
              <w:t>Concept note content</w:t>
            </w:r>
            <w:r w:rsidR="00F027AC">
              <w:rPr>
                <w:webHidden/>
              </w:rPr>
              <w:tab/>
            </w:r>
            <w:r w:rsidR="00F027AC">
              <w:rPr>
                <w:webHidden/>
              </w:rPr>
              <w:fldChar w:fldCharType="begin"/>
            </w:r>
            <w:r w:rsidR="00F027AC">
              <w:rPr>
                <w:webHidden/>
              </w:rPr>
              <w:instrText xml:space="preserve"> PAGEREF _Toc145057272 \h </w:instrText>
            </w:r>
            <w:r w:rsidR="00F027AC">
              <w:rPr>
                <w:webHidden/>
              </w:rPr>
            </w:r>
            <w:r w:rsidR="00F027AC">
              <w:rPr>
                <w:webHidden/>
              </w:rPr>
              <w:fldChar w:fldCharType="separate"/>
            </w:r>
            <w:r w:rsidR="00F027AC">
              <w:rPr>
                <w:webHidden/>
              </w:rPr>
              <w:t>17</w:t>
            </w:r>
            <w:r w:rsidR="00F027AC">
              <w:rPr>
                <w:webHidden/>
              </w:rPr>
              <w:fldChar w:fldCharType="end"/>
            </w:r>
          </w:hyperlink>
        </w:p>
        <w:p w14:paraId="58DB47F5" w14:textId="1E51D085" w:rsidR="00F027AC" w:rsidRDefault="005A59A0">
          <w:pPr>
            <w:pStyle w:val="TOC3"/>
            <w:rPr>
              <w:rFonts w:asciiTheme="minorHAnsi" w:eastAsiaTheme="minorEastAsia" w:hAnsiTheme="minorHAnsi" w:cstheme="minorBidi"/>
              <w:snapToGrid/>
              <w:sz w:val="22"/>
              <w:szCs w:val="22"/>
              <w:lang w:eastAsia="en-GB"/>
            </w:rPr>
          </w:pPr>
          <w:hyperlink w:anchor="_Toc145057273" w:history="1">
            <w:r w:rsidR="00F027AC" w:rsidRPr="00A34877">
              <w:rPr>
                <w:rStyle w:val="Hyperlink"/>
              </w:rPr>
              <w:t>2.2.2.</w:t>
            </w:r>
            <w:r w:rsidR="00F027AC">
              <w:rPr>
                <w:rFonts w:asciiTheme="minorHAnsi" w:eastAsiaTheme="minorEastAsia" w:hAnsiTheme="minorHAnsi" w:cstheme="minorBidi"/>
                <w:snapToGrid/>
                <w:sz w:val="22"/>
                <w:szCs w:val="22"/>
                <w:lang w:eastAsia="en-GB"/>
              </w:rPr>
              <w:tab/>
            </w:r>
            <w:r w:rsidR="00F027AC" w:rsidRPr="00A34877">
              <w:rPr>
                <w:rStyle w:val="Hyperlink"/>
              </w:rPr>
              <w:t>Where and how to send concept notes</w:t>
            </w:r>
            <w:r w:rsidR="00F027AC">
              <w:rPr>
                <w:webHidden/>
              </w:rPr>
              <w:tab/>
            </w:r>
            <w:r w:rsidR="00F027AC">
              <w:rPr>
                <w:webHidden/>
              </w:rPr>
              <w:fldChar w:fldCharType="begin"/>
            </w:r>
            <w:r w:rsidR="00F027AC">
              <w:rPr>
                <w:webHidden/>
              </w:rPr>
              <w:instrText xml:space="preserve"> PAGEREF _Toc145057273 \h </w:instrText>
            </w:r>
            <w:r w:rsidR="00F027AC">
              <w:rPr>
                <w:webHidden/>
              </w:rPr>
            </w:r>
            <w:r w:rsidR="00F027AC">
              <w:rPr>
                <w:webHidden/>
              </w:rPr>
              <w:fldChar w:fldCharType="separate"/>
            </w:r>
            <w:r w:rsidR="00F027AC">
              <w:rPr>
                <w:webHidden/>
              </w:rPr>
              <w:t>18</w:t>
            </w:r>
            <w:r w:rsidR="00F027AC">
              <w:rPr>
                <w:webHidden/>
              </w:rPr>
              <w:fldChar w:fldCharType="end"/>
            </w:r>
          </w:hyperlink>
        </w:p>
        <w:p w14:paraId="6F646069" w14:textId="5E5D6F4F" w:rsidR="00F027AC" w:rsidRDefault="005A59A0">
          <w:pPr>
            <w:pStyle w:val="TOC3"/>
            <w:rPr>
              <w:rFonts w:asciiTheme="minorHAnsi" w:eastAsiaTheme="minorEastAsia" w:hAnsiTheme="minorHAnsi" w:cstheme="minorBidi"/>
              <w:snapToGrid/>
              <w:sz w:val="22"/>
              <w:szCs w:val="22"/>
              <w:lang w:eastAsia="en-GB"/>
            </w:rPr>
          </w:pPr>
          <w:hyperlink w:anchor="_Toc145057274" w:history="1">
            <w:r w:rsidR="00F027AC" w:rsidRPr="00A34877">
              <w:rPr>
                <w:rStyle w:val="Hyperlink"/>
              </w:rPr>
              <w:t>2.2.3.</w:t>
            </w:r>
            <w:r w:rsidR="00F027AC">
              <w:rPr>
                <w:rFonts w:asciiTheme="minorHAnsi" w:eastAsiaTheme="minorEastAsia" w:hAnsiTheme="minorHAnsi" w:cstheme="minorBidi"/>
                <w:snapToGrid/>
                <w:sz w:val="22"/>
                <w:szCs w:val="22"/>
                <w:lang w:eastAsia="en-GB"/>
              </w:rPr>
              <w:tab/>
            </w:r>
            <w:r w:rsidR="00F027AC" w:rsidRPr="00A34877">
              <w:rPr>
                <w:rStyle w:val="Hyperlink"/>
              </w:rPr>
              <w:t>Deadline for submission of concept notes</w:t>
            </w:r>
            <w:r w:rsidR="00F027AC">
              <w:rPr>
                <w:webHidden/>
              </w:rPr>
              <w:tab/>
            </w:r>
            <w:r w:rsidR="00F027AC">
              <w:rPr>
                <w:webHidden/>
              </w:rPr>
              <w:fldChar w:fldCharType="begin"/>
            </w:r>
            <w:r w:rsidR="00F027AC">
              <w:rPr>
                <w:webHidden/>
              </w:rPr>
              <w:instrText xml:space="preserve"> PAGEREF _Toc145057274 \h </w:instrText>
            </w:r>
            <w:r w:rsidR="00F027AC">
              <w:rPr>
                <w:webHidden/>
              </w:rPr>
            </w:r>
            <w:r w:rsidR="00F027AC">
              <w:rPr>
                <w:webHidden/>
              </w:rPr>
              <w:fldChar w:fldCharType="separate"/>
            </w:r>
            <w:r w:rsidR="00F027AC">
              <w:rPr>
                <w:webHidden/>
              </w:rPr>
              <w:t>18</w:t>
            </w:r>
            <w:r w:rsidR="00F027AC">
              <w:rPr>
                <w:webHidden/>
              </w:rPr>
              <w:fldChar w:fldCharType="end"/>
            </w:r>
          </w:hyperlink>
        </w:p>
        <w:p w14:paraId="78D39740" w14:textId="766D8313" w:rsidR="00F027AC" w:rsidRDefault="005A59A0">
          <w:pPr>
            <w:pStyle w:val="TOC3"/>
            <w:rPr>
              <w:rFonts w:asciiTheme="minorHAnsi" w:eastAsiaTheme="minorEastAsia" w:hAnsiTheme="minorHAnsi" w:cstheme="minorBidi"/>
              <w:snapToGrid/>
              <w:sz w:val="22"/>
              <w:szCs w:val="22"/>
              <w:lang w:eastAsia="en-GB"/>
            </w:rPr>
          </w:pPr>
          <w:hyperlink w:anchor="_Toc145057275" w:history="1">
            <w:r w:rsidR="00F027AC" w:rsidRPr="00A34877">
              <w:rPr>
                <w:rStyle w:val="Hyperlink"/>
              </w:rPr>
              <w:t>2.2.4.</w:t>
            </w:r>
            <w:r w:rsidR="00F027AC">
              <w:rPr>
                <w:rFonts w:asciiTheme="minorHAnsi" w:eastAsiaTheme="minorEastAsia" w:hAnsiTheme="minorHAnsi" w:cstheme="minorBidi"/>
                <w:snapToGrid/>
                <w:sz w:val="22"/>
                <w:szCs w:val="22"/>
                <w:lang w:eastAsia="en-GB"/>
              </w:rPr>
              <w:tab/>
            </w:r>
            <w:r w:rsidR="00F027AC" w:rsidRPr="00A34877">
              <w:rPr>
                <w:rStyle w:val="Hyperlink"/>
              </w:rPr>
              <w:t>Further information about concept notes</w:t>
            </w:r>
            <w:r w:rsidR="00F027AC">
              <w:rPr>
                <w:webHidden/>
              </w:rPr>
              <w:tab/>
            </w:r>
            <w:r w:rsidR="00F027AC">
              <w:rPr>
                <w:webHidden/>
              </w:rPr>
              <w:fldChar w:fldCharType="begin"/>
            </w:r>
            <w:r w:rsidR="00F027AC">
              <w:rPr>
                <w:webHidden/>
              </w:rPr>
              <w:instrText xml:space="preserve"> PAGEREF _Toc145057275 \h </w:instrText>
            </w:r>
            <w:r w:rsidR="00F027AC">
              <w:rPr>
                <w:webHidden/>
              </w:rPr>
            </w:r>
            <w:r w:rsidR="00F027AC">
              <w:rPr>
                <w:webHidden/>
              </w:rPr>
              <w:fldChar w:fldCharType="separate"/>
            </w:r>
            <w:r w:rsidR="00F027AC">
              <w:rPr>
                <w:webHidden/>
              </w:rPr>
              <w:t>18</w:t>
            </w:r>
            <w:r w:rsidR="00F027AC">
              <w:rPr>
                <w:webHidden/>
              </w:rPr>
              <w:fldChar w:fldCharType="end"/>
            </w:r>
          </w:hyperlink>
        </w:p>
        <w:p w14:paraId="685E5CDF" w14:textId="5382EF0E" w:rsidR="00F027AC" w:rsidRDefault="005A59A0">
          <w:pPr>
            <w:pStyle w:val="TOC3"/>
            <w:rPr>
              <w:rFonts w:asciiTheme="minorHAnsi" w:eastAsiaTheme="minorEastAsia" w:hAnsiTheme="minorHAnsi" w:cstheme="minorBidi"/>
              <w:snapToGrid/>
              <w:sz w:val="22"/>
              <w:szCs w:val="22"/>
              <w:lang w:eastAsia="en-GB"/>
            </w:rPr>
          </w:pPr>
          <w:hyperlink w:anchor="_Toc145057276" w:history="1">
            <w:r w:rsidR="00F027AC" w:rsidRPr="00A34877">
              <w:rPr>
                <w:rStyle w:val="Hyperlink"/>
              </w:rPr>
              <w:t>2.2.5.</w:t>
            </w:r>
            <w:r w:rsidR="00F027AC">
              <w:rPr>
                <w:rFonts w:asciiTheme="minorHAnsi" w:eastAsiaTheme="minorEastAsia" w:hAnsiTheme="minorHAnsi" w:cstheme="minorBidi"/>
                <w:snapToGrid/>
                <w:sz w:val="22"/>
                <w:szCs w:val="22"/>
                <w:lang w:eastAsia="en-GB"/>
              </w:rPr>
              <w:tab/>
            </w:r>
            <w:r w:rsidR="00F027AC" w:rsidRPr="00A34877">
              <w:rPr>
                <w:rStyle w:val="Hyperlink"/>
              </w:rPr>
              <w:t>Full applications</w:t>
            </w:r>
            <w:r w:rsidR="00F027AC">
              <w:rPr>
                <w:webHidden/>
              </w:rPr>
              <w:tab/>
            </w:r>
            <w:r w:rsidR="00F027AC">
              <w:rPr>
                <w:webHidden/>
              </w:rPr>
              <w:fldChar w:fldCharType="begin"/>
            </w:r>
            <w:r w:rsidR="00F027AC">
              <w:rPr>
                <w:webHidden/>
              </w:rPr>
              <w:instrText xml:space="preserve"> PAGEREF _Toc145057276 \h </w:instrText>
            </w:r>
            <w:r w:rsidR="00F027AC">
              <w:rPr>
                <w:webHidden/>
              </w:rPr>
            </w:r>
            <w:r w:rsidR="00F027AC">
              <w:rPr>
                <w:webHidden/>
              </w:rPr>
              <w:fldChar w:fldCharType="separate"/>
            </w:r>
            <w:r w:rsidR="00F027AC">
              <w:rPr>
                <w:webHidden/>
              </w:rPr>
              <w:t>19</w:t>
            </w:r>
            <w:r w:rsidR="00F027AC">
              <w:rPr>
                <w:webHidden/>
              </w:rPr>
              <w:fldChar w:fldCharType="end"/>
            </w:r>
          </w:hyperlink>
        </w:p>
        <w:p w14:paraId="071DC323" w14:textId="4E496212" w:rsidR="00F027AC" w:rsidRDefault="005A59A0">
          <w:pPr>
            <w:pStyle w:val="TOC3"/>
            <w:rPr>
              <w:rFonts w:asciiTheme="minorHAnsi" w:eastAsiaTheme="minorEastAsia" w:hAnsiTheme="minorHAnsi" w:cstheme="minorBidi"/>
              <w:snapToGrid/>
              <w:sz w:val="22"/>
              <w:szCs w:val="22"/>
              <w:lang w:eastAsia="en-GB"/>
            </w:rPr>
          </w:pPr>
          <w:hyperlink w:anchor="_Toc145057277" w:history="1">
            <w:r w:rsidR="00F027AC" w:rsidRPr="00A34877">
              <w:rPr>
                <w:rStyle w:val="Hyperlink"/>
              </w:rPr>
              <w:t>2.2.6.</w:t>
            </w:r>
            <w:r w:rsidR="00F027AC">
              <w:rPr>
                <w:rFonts w:asciiTheme="minorHAnsi" w:eastAsiaTheme="minorEastAsia" w:hAnsiTheme="minorHAnsi" w:cstheme="minorBidi"/>
                <w:snapToGrid/>
                <w:sz w:val="22"/>
                <w:szCs w:val="22"/>
                <w:lang w:eastAsia="en-GB"/>
              </w:rPr>
              <w:tab/>
            </w:r>
            <w:r w:rsidR="00F027AC" w:rsidRPr="00A34877">
              <w:rPr>
                <w:rStyle w:val="Hyperlink"/>
              </w:rPr>
              <w:t>Where and how to send full applications</w:t>
            </w:r>
            <w:r w:rsidR="00F027AC">
              <w:rPr>
                <w:webHidden/>
              </w:rPr>
              <w:tab/>
            </w:r>
            <w:r w:rsidR="00F027AC">
              <w:rPr>
                <w:webHidden/>
              </w:rPr>
              <w:fldChar w:fldCharType="begin"/>
            </w:r>
            <w:r w:rsidR="00F027AC">
              <w:rPr>
                <w:webHidden/>
              </w:rPr>
              <w:instrText xml:space="preserve"> PAGEREF _Toc145057277 \h </w:instrText>
            </w:r>
            <w:r w:rsidR="00F027AC">
              <w:rPr>
                <w:webHidden/>
              </w:rPr>
            </w:r>
            <w:r w:rsidR="00F027AC">
              <w:rPr>
                <w:webHidden/>
              </w:rPr>
              <w:fldChar w:fldCharType="separate"/>
            </w:r>
            <w:r w:rsidR="00F027AC">
              <w:rPr>
                <w:webHidden/>
              </w:rPr>
              <w:t>20</w:t>
            </w:r>
            <w:r w:rsidR="00F027AC">
              <w:rPr>
                <w:webHidden/>
              </w:rPr>
              <w:fldChar w:fldCharType="end"/>
            </w:r>
          </w:hyperlink>
        </w:p>
        <w:p w14:paraId="1BD3CD50" w14:textId="59A742A2" w:rsidR="00F027AC" w:rsidRDefault="005A59A0">
          <w:pPr>
            <w:pStyle w:val="TOC3"/>
            <w:rPr>
              <w:rFonts w:asciiTheme="minorHAnsi" w:eastAsiaTheme="minorEastAsia" w:hAnsiTheme="minorHAnsi" w:cstheme="minorBidi"/>
              <w:snapToGrid/>
              <w:sz w:val="22"/>
              <w:szCs w:val="22"/>
              <w:lang w:eastAsia="en-GB"/>
            </w:rPr>
          </w:pPr>
          <w:hyperlink w:anchor="_Toc145057278" w:history="1">
            <w:r w:rsidR="00F027AC" w:rsidRPr="00A34877">
              <w:rPr>
                <w:rStyle w:val="Hyperlink"/>
              </w:rPr>
              <w:t>2.2.7.</w:t>
            </w:r>
            <w:r w:rsidR="00F027AC">
              <w:rPr>
                <w:rFonts w:asciiTheme="minorHAnsi" w:eastAsiaTheme="minorEastAsia" w:hAnsiTheme="minorHAnsi" w:cstheme="minorBidi"/>
                <w:snapToGrid/>
                <w:sz w:val="22"/>
                <w:szCs w:val="22"/>
                <w:lang w:eastAsia="en-GB"/>
              </w:rPr>
              <w:tab/>
            </w:r>
            <w:r w:rsidR="00F027AC" w:rsidRPr="00A34877">
              <w:rPr>
                <w:rStyle w:val="Hyperlink"/>
              </w:rPr>
              <w:t>Deadline for submission of full applications</w:t>
            </w:r>
            <w:r w:rsidR="00F027AC">
              <w:rPr>
                <w:webHidden/>
              </w:rPr>
              <w:tab/>
            </w:r>
            <w:r w:rsidR="00F027AC">
              <w:rPr>
                <w:webHidden/>
              </w:rPr>
              <w:fldChar w:fldCharType="begin"/>
            </w:r>
            <w:r w:rsidR="00F027AC">
              <w:rPr>
                <w:webHidden/>
              </w:rPr>
              <w:instrText xml:space="preserve"> PAGEREF _Toc145057278 \h </w:instrText>
            </w:r>
            <w:r w:rsidR="00F027AC">
              <w:rPr>
                <w:webHidden/>
              </w:rPr>
            </w:r>
            <w:r w:rsidR="00F027AC">
              <w:rPr>
                <w:webHidden/>
              </w:rPr>
              <w:fldChar w:fldCharType="separate"/>
            </w:r>
            <w:r w:rsidR="00F027AC">
              <w:rPr>
                <w:webHidden/>
              </w:rPr>
              <w:t>21</w:t>
            </w:r>
            <w:r w:rsidR="00F027AC">
              <w:rPr>
                <w:webHidden/>
              </w:rPr>
              <w:fldChar w:fldCharType="end"/>
            </w:r>
          </w:hyperlink>
        </w:p>
        <w:p w14:paraId="2778475D" w14:textId="1D2B335C" w:rsidR="00F027AC" w:rsidRDefault="005A59A0">
          <w:pPr>
            <w:pStyle w:val="TOC3"/>
            <w:rPr>
              <w:rFonts w:asciiTheme="minorHAnsi" w:eastAsiaTheme="minorEastAsia" w:hAnsiTheme="minorHAnsi" w:cstheme="minorBidi"/>
              <w:snapToGrid/>
              <w:sz w:val="22"/>
              <w:szCs w:val="22"/>
              <w:lang w:eastAsia="en-GB"/>
            </w:rPr>
          </w:pPr>
          <w:hyperlink w:anchor="_Toc145057279" w:history="1">
            <w:r w:rsidR="00F027AC" w:rsidRPr="00A34877">
              <w:rPr>
                <w:rStyle w:val="Hyperlink"/>
              </w:rPr>
              <w:t>2.2.8.</w:t>
            </w:r>
            <w:r w:rsidR="00F027AC">
              <w:rPr>
                <w:rFonts w:asciiTheme="minorHAnsi" w:eastAsiaTheme="minorEastAsia" w:hAnsiTheme="minorHAnsi" w:cstheme="minorBidi"/>
                <w:snapToGrid/>
                <w:sz w:val="22"/>
                <w:szCs w:val="22"/>
                <w:lang w:eastAsia="en-GB"/>
              </w:rPr>
              <w:tab/>
            </w:r>
            <w:r w:rsidR="00F027AC" w:rsidRPr="00A34877">
              <w:rPr>
                <w:rStyle w:val="Hyperlink"/>
              </w:rPr>
              <w:t>Further information about full applications</w:t>
            </w:r>
            <w:r w:rsidR="00F027AC">
              <w:rPr>
                <w:webHidden/>
              </w:rPr>
              <w:tab/>
            </w:r>
            <w:r w:rsidR="00F027AC">
              <w:rPr>
                <w:webHidden/>
              </w:rPr>
              <w:fldChar w:fldCharType="begin"/>
            </w:r>
            <w:r w:rsidR="00F027AC">
              <w:rPr>
                <w:webHidden/>
              </w:rPr>
              <w:instrText xml:space="preserve"> PAGEREF _Toc145057279 \h </w:instrText>
            </w:r>
            <w:r w:rsidR="00F027AC">
              <w:rPr>
                <w:webHidden/>
              </w:rPr>
            </w:r>
            <w:r w:rsidR="00F027AC">
              <w:rPr>
                <w:webHidden/>
              </w:rPr>
              <w:fldChar w:fldCharType="separate"/>
            </w:r>
            <w:r w:rsidR="00F027AC">
              <w:rPr>
                <w:webHidden/>
              </w:rPr>
              <w:t>21</w:t>
            </w:r>
            <w:r w:rsidR="00F027AC">
              <w:rPr>
                <w:webHidden/>
              </w:rPr>
              <w:fldChar w:fldCharType="end"/>
            </w:r>
          </w:hyperlink>
        </w:p>
        <w:p w14:paraId="4C567155" w14:textId="43A561B7" w:rsidR="00F027AC" w:rsidRDefault="005A59A0">
          <w:pPr>
            <w:pStyle w:val="TOC2"/>
            <w:rPr>
              <w:rFonts w:asciiTheme="minorHAnsi" w:eastAsiaTheme="minorEastAsia" w:hAnsiTheme="minorHAnsi" w:cstheme="minorBidi"/>
              <w:noProof/>
              <w:snapToGrid/>
              <w:szCs w:val="22"/>
              <w:lang w:eastAsia="en-GB"/>
            </w:rPr>
          </w:pPr>
          <w:hyperlink w:anchor="_Toc145057280" w:history="1">
            <w:r w:rsidR="00F027AC" w:rsidRPr="00A34877">
              <w:rPr>
                <w:rStyle w:val="Hyperlink"/>
                <w:noProof/>
              </w:rPr>
              <w:t>2.3.</w:t>
            </w:r>
            <w:r w:rsidR="00F027AC">
              <w:rPr>
                <w:rFonts w:asciiTheme="minorHAnsi" w:eastAsiaTheme="minorEastAsia" w:hAnsiTheme="minorHAnsi" w:cstheme="minorBidi"/>
                <w:noProof/>
                <w:snapToGrid/>
                <w:szCs w:val="22"/>
                <w:lang w:eastAsia="en-GB"/>
              </w:rPr>
              <w:tab/>
            </w:r>
            <w:r w:rsidR="00F027AC" w:rsidRPr="00A34877">
              <w:rPr>
                <w:rStyle w:val="Hyperlink"/>
                <w:noProof/>
              </w:rPr>
              <w:t>Evaluation and selection of applications</w:t>
            </w:r>
            <w:r w:rsidR="00F027AC">
              <w:rPr>
                <w:noProof/>
                <w:webHidden/>
              </w:rPr>
              <w:tab/>
            </w:r>
            <w:r w:rsidR="00F027AC">
              <w:rPr>
                <w:noProof/>
                <w:webHidden/>
              </w:rPr>
              <w:fldChar w:fldCharType="begin"/>
            </w:r>
            <w:r w:rsidR="00F027AC">
              <w:rPr>
                <w:noProof/>
                <w:webHidden/>
              </w:rPr>
              <w:instrText xml:space="preserve"> PAGEREF _Toc145057280 \h </w:instrText>
            </w:r>
            <w:r w:rsidR="00F027AC">
              <w:rPr>
                <w:noProof/>
                <w:webHidden/>
              </w:rPr>
            </w:r>
            <w:r w:rsidR="00F027AC">
              <w:rPr>
                <w:noProof/>
                <w:webHidden/>
              </w:rPr>
              <w:fldChar w:fldCharType="separate"/>
            </w:r>
            <w:r w:rsidR="00F027AC">
              <w:rPr>
                <w:noProof/>
                <w:webHidden/>
              </w:rPr>
              <w:t>22</w:t>
            </w:r>
            <w:r w:rsidR="00F027AC">
              <w:rPr>
                <w:noProof/>
                <w:webHidden/>
              </w:rPr>
              <w:fldChar w:fldCharType="end"/>
            </w:r>
          </w:hyperlink>
        </w:p>
        <w:p w14:paraId="2B46ACB6" w14:textId="189375C4" w:rsidR="00F027AC" w:rsidRDefault="005A59A0">
          <w:pPr>
            <w:pStyle w:val="TOC2"/>
            <w:rPr>
              <w:rFonts w:asciiTheme="minorHAnsi" w:eastAsiaTheme="minorEastAsia" w:hAnsiTheme="minorHAnsi" w:cstheme="minorBidi"/>
              <w:noProof/>
              <w:snapToGrid/>
              <w:szCs w:val="22"/>
              <w:lang w:eastAsia="en-GB"/>
            </w:rPr>
          </w:pPr>
          <w:hyperlink w:anchor="_Toc145057281" w:history="1">
            <w:r w:rsidR="00F027AC" w:rsidRPr="00A34877">
              <w:rPr>
                <w:rStyle w:val="Hyperlink"/>
                <w:noProof/>
              </w:rPr>
              <w:t>2.4.</w:t>
            </w:r>
            <w:r w:rsidR="00F027AC">
              <w:rPr>
                <w:rFonts w:asciiTheme="minorHAnsi" w:eastAsiaTheme="minorEastAsia" w:hAnsiTheme="minorHAnsi" w:cstheme="minorBidi"/>
                <w:noProof/>
                <w:snapToGrid/>
                <w:szCs w:val="22"/>
                <w:lang w:eastAsia="en-GB"/>
              </w:rPr>
              <w:tab/>
            </w:r>
            <w:r w:rsidR="00F027AC" w:rsidRPr="00A34877">
              <w:rPr>
                <w:rStyle w:val="Hyperlink"/>
                <w:noProof/>
              </w:rPr>
              <w:t>Submission of supporting documents</w:t>
            </w:r>
            <w:r w:rsidR="00F027AC">
              <w:rPr>
                <w:noProof/>
                <w:webHidden/>
              </w:rPr>
              <w:tab/>
            </w:r>
            <w:r w:rsidR="00F027AC">
              <w:rPr>
                <w:noProof/>
                <w:webHidden/>
              </w:rPr>
              <w:fldChar w:fldCharType="begin"/>
            </w:r>
            <w:r w:rsidR="00F027AC">
              <w:rPr>
                <w:noProof/>
                <w:webHidden/>
              </w:rPr>
              <w:instrText xml:space="preserve"> PAGEREF _Toc145057281 \h </w:instrText>
            </w:r>
            <w:r w:rsidR="00F027AC">
              <w:rPr>
                <w:noProof/>
                <w:webHidden/>
              </w:rPr>
            </w:r>
            <w:r w:rsidR="00F027AC">
              <w:rPr>
                <w:noProof/>
                <w:webHidden/>
              </w:rPr>
              <w:fldChar w:fldCharType="separate"/>
            </w:r>
            <w:r w:rsidR="00F027AC">
              <w:rPr>
                <w:noProof/>
                <w:webHidden/>
              </w:rPr>
              <w:t>26</w:t>
            </w:r>
            <w:r w:rsidR="00F027AC">
              <w:rPr>
                <w:noProof/>
                <w:webHidden/>
              </w:rPr>
              <w:fldChar w:fldCharType="end"/>
            </w:r>
          </w:hyperlink>
        </w:p>
        <w:p w14:paraId="515C8BFF" w14:textId="17B70FF6" w:rsidR="00F027AC" w:rsidRDefault="005A59A0">
          <w:pPr>
            <w:pStyle w:val="TOC2"/>
            <w:rPr>
              <w:rFonts w:asciiTheme="minorHAnsi" w:eastAsiaTheme="minorEastAsia" w:hAnsiTheme="minorHAnsi" w:cstheme="minorBidi"/>
              <w:noProof/>
              <w:snapToGrid/>
              <w:szCs w:val="22"/>
              <w:lang w:eastAsia="en-GB"/>
            </w:rPr>
          </w:pPr>
          <w:hyperlink w:anchor="_Toc145057282" w:history="1">
            <w:r w:rsidR="00F027AC" w:rsidRPr="00A34877">
              <w:rPr>
                <w:rStyle w:val="Hyperlink"/>
                <w:noProof/>
              </w:rPr>
              <w:t>2.5.</w:t>
            </w:r>
            <w:r w:rsidR="00F027AC">
              <w:rPr>
                <w:rFonts w:asciiTheme="minorHAnsi" w:eastAsiaTheme="minorEastAsia" w:hAnsiTheme="minorHAnsi" w:cstheme="minorBidi"/>
                <w:noProof/>
                <w:snapToGrid/>
                <w:szCs w:val="22"/>
                <w:lang w:eastAsia="en-GB"/>
              </w:rPr>
              <w:tab/>
            </w:r>
            <w:r w:rsidR="00F027AC" w:rsidRPr="00A34877">
              <w:rPr>
                <w:rStyle w:val="Hyperlink"/>
                <w:noProof/>
              </w:rPr>
              <w:t>Notification of the Contracting Authority’s decision</w:t>
            </w:r>
            <w:r w:rsidR="00F027AC">
              <w:rPr>
                <w:noProof/>
                <w:webHidden/>
              </w:rPr>
              <w:tab/>
            </w:r>
            <w:r w:rsidR="00F027AC">
              <w:rPr>
                <w:noProof/>
                <w:webHidden/>
              </w:rPr>
              <w:fldChar w:fldCharType="begin"/>
            </w:r>
            <w:r w:rsidR="00F027AC">
              <w:rPr>
                <w:noProof/>
                <w:webHidden/>
              </w:rPr>
              <w:instrText xml:space="preserve"> PAGEREF _Toc145057282 \h </w:instrText>
            </w:r>
            <w:r w:rsidR="00F027AC">
              <w:rPr>
                <w:noProof/>
                <w:webHidden/>
              </w:rPr>
            </w:r>
            <w:r w:rsidR="00F027AC">
              <w:rPr>
                <w:noProof/>
                <w:webHidden/>
              </w:rPr>
              <w:fldChar w:fldCharType="separate"/>
            </w:r>
            <w:r w:rsidR="00F027AC">
              <w:rPr>
                <w:noProof/>
                <w:webHidden/>
              </w:rPr>
              <w:t>27</w:t>
            </w:r>
            <w:r w:rsidR="00F027AC">
              <w:rPr>
                <w:noProof/>
                <w:webHidden/>
              </w:rPr>
              <w:fldChar w:fldCharType="end"/>
            </w:r>
          </w:hyperlink>
        </w:p>
        <w:p w14:paraId="66739338" w14:textId="4D746E3C" w:rsidR="00F027AC" w:rsidRDefault="005A59A0">
          <w:pPr>
            <w:pStyle w:val="TOC3"/>
            <w:rPr>
              <w:rFonts w:asciiTheme="minorHAnsi" w:eastAsiaTheme="minorEastAsia" w:hAnsiTheme="minorHAnsi" w:cstheme="minorBidi"/>
              <w:snapToGrid/>
              <w:sz w:val="22"/>
              <w:szCs w:val="22"/>
              <w:lang w:eastAsia="en-GB"/>
            </w:rPr>
          </w:pPr>
          <w:hyperlink w:anchor="_Toc145057283" w:history="1">
            <w:r w:rsidR="00F027AC" w:rsidRPr="00A34877">
              <w:rPr>
                <w:rStyle w:val="Hyperlink"/>
              </w:rPr>
              <w:t>2.5.1.</w:t>
            </w:r>
            <w:r w:rsidR="00F027AC">
              <w:rPr>
                <w:rFonts w:asciiTheme="minorHAnsi" w:eastAsiaTheme="minorEastAsia" w:hAnsiTheme="minorHAnsi" w:cstheme="minorBidi"/>
                <w:snapToGrid/>
                <w:sz w:val="22"/>
                <w:szCs w:val="22"/>
                <w:lang w:eastAsia="en-GB"/>
              </w:rPr>
              <w:tab/>
            </w:r>
            <w:r w:rsidR="00F027AC" w:rsidRPr="00A34877">
              <w:rPr>
                <w:rStyle w:val="Hyperlink"/>
              </w:rPr>
              <w:t>Content of the decision</w:t>
            </w:r>
            <w:r w:rsidR="00F027AC">
              <w:rPr>
                <w:webHidden/>
              </w:rPr>
              <w:tab/>
            </w:r>
            <w:r w:rsidR="00F027AC">
              <w:rPr>
                <w:webHidden/>
              </w:rPr>
              <w:fldChar w:fldCharType="begin"/>
            </w:r>
            <w:r w:rsidR="00F027AC">
              <w:rPr>
                <w:webHidden/>
              </w:rPr>
              <w:instrText xml:space="preserve"> PAGEREF _Toc145057283 \h </w:instrText>
            </w:r>
            <w:r w:rsidR="00F027AC">
              <w:rPr>
                <w:webHidden/>
              </w:rPr>
            </w:r>
            <w:r w:rsidR="00F027AC">
              <w:rPr>
                <w:webHidden/>
              </w:rPr>
              <w:fldChar w:fldCharType="separate"/>
            </w:r>
            <w:r w:rsidR="00F027AC">
              <w:rPr>
                <w:webHidden/>
              </w:rPr>
              <w:t>27</w:t>
            </w:r>
            <w:r w:rsidR="00F027AC">
              <w:rPr>
                <w:webHidden/>
              </w:rPr>
              <w:fldChar w:fldCharType="end"/>
            </w:r>
          </w:hyperlink>
        </w:p>
        <w:p w14:paraId="7AE3C686" w14:textId="4072E5EF" w:rsidR="00F027AC" w:rsidRDefault="005A59A0">
          <w:pPr>
            <w:pStyle w:val="TOC3"/>
            <w:rPr>
              <w:rFonts w:asciiTheme="minorHAnsi" w:eastAsiaTheme="minorEastAsia" w:hAnsiTheme="minorHAnsi" w:cstheme="minorBidi"/>
              <w:snapToGrid/>
              <w:sz w:val="22"/>
              <w:szCs w:val="22"/>
              <w:lang w:eastAsia="en-GB"/>
            </w:rPr>
          </w:pPr>
          <w:hyperlink w:anchor="_Toc145057284" w:history="1">
            <w:r w:rsidR="00F027AC" w:rsidRPr="00A34877">
              <w:rPr>
                <w:rStyle w:val="Hyperlink"/>
              </w:rPr>
              <w:t>2.5.2.</w:t>
            </w:r>
            <w:r w:rsidR="00F027AC">
              <w:rPr>
                <w:rFonts w:asciiTheme="minorHAnsi" w:eastAsiaTheme="minorEastAsia" w:hAnsiTheme="minorHAnsi" w:cstheme="minorBidi"/>
                <w:snapToGrid/>
                <w:sz w:val="22"/>
                <w:szCs w:val="22"/>
                <w:lang w:eastAsia="en-GB"/>
              </w:rPr>
              <w:tab/>
            </w:r>
            <w:r w:rsidR="00F027AC" w:rsidRPr="00A34877">
              <w:rPr>
                <w:rStyle w:val="Hyperlink"/>
              </w:rPr>
              <w:t>Indicative timetable</w:t>
            </w:r>
            <w:r w:rsidR="00F027AC">
              <w:rPr>
                <w:webHidden/>
              </w:rPr>
              <w:tab/>
            </w:r>
            <w:r w:rsidR="00F027AC">
              <w:rPr>
                <w:webHidden/>
              </w:rPr>
              <w:fldChar w:fldCharType="begin"/>
            </w:r>
            <w:r w:rsidR="00F027AC">
              <w:rPr>
                <w:webHidden/>
              </w:rPr>
              <w:instrText xml:space="preserve"> PAGEREF _Toc145057284 \h </w:instrText>
            </w:r>
            <w:r w:rsidR="00F027AC">
              <w:rPr>
                <w:webHidden/>
              </w:rPr>
            </w:r>
            <w:r w:rsidR="00F027AC">
              <w:rPr>
                <w:webHidden/>
              </w:rPr>
              <w:fldChar w:fldCharType="separate"/>
            </w:r>
            <w:r w:rsidR="00F027AC">
              <w:rPr>
                <w:webHidden/>
              </w:rPr>
              <w:t>27</w:t>
            </w:r>
            <w:r w:rsidR="00F027AC">
              <w:rPr>
                <w:webHidden/>
              </w:rPr>
              <w:fldChar w:fldCharType="end"/>
            </w:r>
          </w:hyperlink>
        </w:p>
        <w:p w14:paraId="0F43F433" w14:textId="5817FD90" w:rsidR="00F027AC" w:rsidRDefault="005A59A0">
          <w:pPr>
            <w:pStyle w:val="TOC2"/>
            <w:rPr>
              <w:rFonts w:asciiTheme="minorHAnsi" w:eastAsiaTheme="minorEastAsia" w:hAnsiTheme="minorHAnsi" w:cstheme="minorBidi"/>
              <w:noProof/>
              <w:snapToGrid/>
              <w:szCs w:val="22"/>
              <w:lang w:eastAsia="en-GB"/>
            </w:rPr>
          </w:pPr>
          <w:hyperlink w:anchor="_Toc145057285" w:history="1">
            <w:r w:rsidR="00F027AC" w:rsidRPr="00A34877">
              <w:rPr>
                <w:rStyle w:val="Hyperlink"/>
                <w:noProof/>
              </w:rPr>
              <w:t>2.6.</w:t>
            </w:r>
            <w:r w:rsidR="00F027AC">
              <w:rPr>
                <w:rFonts w:asciiTheme="minorHAnsi" w:eastAsiaTheme="minorEastAsia" w:hAnsiTheme="minorHAnsi" w:cstheme="minorBidi"/>
                <w:noProof/>
                <w:snapToGrid/>
                <w:szCs w:val="22"/>
                <w:lang w:eastAsia="en-GB"/>
              </w:rPr>
              <w:tab/>
            </w:r>
            <w:r w:rsidR="00F027AC" w:rsidRPr="00A34877">
              <w:rPr>
                <w:rStyle w:val="Hyperlink"/>
                <w:noProof/>
              </w:rPr>
              <w:t>Conditions for implementation after the contracting authority’s decision to award a grant</w:t>
            </w:r>
            <w:r w:rsidR="00F027AC">
              <w:rPr>
                <w:noProof/>
                <w:webHidden/>
              </w:rPr>
              <w:tab/>
            </w:r>
            <w:r w:rsidR="00F027AC">
              <w:rPr>
                <w:noProof/>
                <w:webHidden/>
              </w:rPr>
              <w:fldChar w:fldCharType="begin"/>
            </w:r>
            <w:r w:rsidR="00F027AC">
              <w:rPr>
                <w:noProof/>
                <w:webHidden/>
              </w:rPr>
              <w:instrText xml:space="preserve"> PAGEREF _Toc145057285 \h </w:instrText>
            </w:r>
            <w:r w:rsidR="00F027AC">
              <w:rPr>
                <w:noProof/>
                <w:webHidden/>
              </w:rPr>
            </w:r>
            <w:r w:rsidR="00F027AC">
              <w:rPr>
                <w:noProof/>
                <w:webHidden/>
              </w:rPr>
              <w:fldChar w:fldCharType="separate"/>
            </w:r>
            <w:r w:rsidR="00F027AC">
              <w:rPr>
                <w:noProof/>
                <w:webHidden/>
              </w:rPr>
              <w:t>28</w:t>
            </w:r>
            <w:r w:rsidR="00F027AC">
              <w:rPr>
                <w:noProof/>
                <w:webHidden/>
              </w:rPr>
              <w:fldChar w:fldCharType="end"/>
            </w:r>
          </w:hyperlink>
        </w:p>
        <w:p w14:paraId="3CFC0332" w14:textId="32C16FD3" w:rsidR="00F027AC" w:rsidRDefault="005A59A0">
          <w:pPr>
            <w:pStyle w:val="TOC1"/>
            <w:rPr>
              <w:rFonts w:asciiTheme="minorHAnsi" w:eastAsiaTheme="minorEastAsia" w:hAnsiTheme="minorHAnsi" w:cstheme="minorBidi"/>
              <w:b w:val="0"/>
              <w:caps w:val="0"/>
              <w:noProof/>
              <w:snapToGrid/>
              <w:szCs w:val="22"/>
              <w:lang w:eastAsia="en-GB"/>
            </w:rPr>
          </w:pPr>
          <w:hyperlink w:anchor="_Toc145057286" w:history="1">
            <w:r w:rsidR="00F027AC" w:rsidRPr="00A34877">
              <w:rPr>
                <w:rStyle w:val="Hyperlink"/>
                <w:noProof/>
              </w:rPr>
              <w:t>3.</w:t>
            </w:r>
            <w:r w:rsidR="00F027AC">
              <w:rPr>
                <w:rFonts w:asciiTheme="minorHAnsi" w:eastAsiaTheme="minorEastAsia" w:hAnsiTheme="minorHAnsi" w:cstheme="minorBidi"/>
                <w:b w:val="0"/>
                <w:caps w:val="0"/>
                <w:noProof/>
                <w:snapToGrid/>
                <w:szCs w:val="22"/>
                <w:lang w:eastAsia="en-GB"/>
              </w:rPr>
              <w:tab/>
            </w:r>
            <w:r w:rsidR="00F027AC" w:rsidRPr="00A34877">
              <w:rPr>
                <w:rStyle w:val="Hyperlink"/>
                <w:noProof/>
              </w:rPr>
              <w:t>LIST OF annexes</w:t>
            </w:r>
            <w:r w:rsidR="00F027AC">
              <w:rPr>
                <w:noProof/>
                <w:webHidden/>
              </w:rPr>
              <w:tab/>
            </w:r>
            <w:r w:rsidR="00F027AC">
              <w:rPr>
                <w:noProof/>
                <w:webHidden/>
              </w:rPr>
              <w:fldChar w:fldCharType="begin"/>
            </w:r>
            <w:r w:rsidR="00F027AC">
              <w:rPr>
                <w:noProof/>
                <w:webHidden/>
              </w:rPr>
              <w:instrText xml:space="preserve"> PAGEREF _Toc145057286 \h </w:instrText>
            </w:r>
            <w:r w:rsidR="00F027AC">
              <w:rPr>
                <w:noProof/>
                <w:webHidden/>
              </w:rPr>
            </w:r>
            <w:r w:rsidR="00F027AC">
              <w:rPr>
                <w:noProof/>
                <w:webHidden/>
              </w:rPr>
              <w:fldChar w:fldCharType="separate"/>
            </w:r>
            <w:r w:rsidR="00F027AC">
              <w:rPr>
                <w:noProof/>
                <w:webHidden/>
              </w:rPr>
              <w:t>29</w:t>
            </w:r>
            <w:r w:rsidR="00F027AC">
              <w:rPr>
                <w:noProof/>
                <w:webHidden/>
              </w:rPr>
              <w:fldChar w:fldCharType="end"/>
            </w:r>
          </w:hyperlink>
        </w:p>
        <w:p w14:paraId="3CD4153A" w14:textId="22172F9C" w:rsidR="00912AA1" w:rsidRDefault="00912AA1">
          <w:r>
            <w:rPr>
              <w:b/>
              <w:bCs/>
              <w:noProof/>
            </w:rPr>
            <w:fldChar w:fldCharType="end"/>
          </w:r>
        </w:p>
      </w:sdtContent>
    </w:sdt>
    <w:p w14:paraId="69141EDF" w14:textId="0AA94608" w:rsidR="00491F8A" w:rsidRPr="00807DAF" w:rsidRDefault="004B7BC2" w:rsidP="00495849">
      <w:pPr>
        <w:rPr>
          <w:sz w:val="28"/>
          <w:szCs w:val="28"/>
        </w:rPr>
        <w:sectPr w:rsidR="00491F8A" w:rsidRPr="00807DAF" w:rsidSect="002D4ACD">
          <w:headerReference w:type="first" r:id="rId19"/>
          <w:footerReference w:type="first" r:id="rId20"/>
          <w:pgSz w:w="11906" w:h="16838" w:code="9"/>
          <w:pgMar w:top="1021" w:right="1134" w:bottom="1021" w:left="1134" w:header="567" w:footer="545" w:gutter="0"/>
          <w:cols w:space="720"/>
          <w:titlePg/>
        </w:sectPr>
      </w:pPr>
      <w:r>
        <w:rPr>
          <w:rFonts w:ascii="Times New Roman Bold" w:hAnsi="Times New Roman Bold"/>
          <w:b/>
          <w:caps/>
          <w:sz w:val="28"/>
          <w:szCs w:val="28"/>
        </w:rPr>
        <w:fldChar w:fldCharType="begin"/>
      </w:r>
      <w:r>
        <w:rPr>
          <w:sz w:val="28"/>
          <w:szCs w:val="28"/>
        </w:rPr>
        <w:instrText xml:space="preserve"> TOC \h \z \t "Guidelines 1;1;Guidelines 2;2;Guidelines 3;3" </w:instrText>
      </w:r>
      <w:r>
        <w:rPr>
          <w:rFonts w:ascii="Times New Roman Bold" w:hAnsi="Times New Roman Bold"/>
          <w:b/>
          <w:caps/>
          <w:sz w:val="28"/>
          <w:szCs w:val="28"/>
        </w:rPr>
        <w:fldChar w:fldCharType="end"/>
      </w:r>
      <w:bookmarkEnd w:id="0"/>
    </w:p>
    <w:p w14:paraId="43F1436D" w14:textId="5CA13BEA" w:rsidR="0007408E" w:rsidRPr="00912AA1" w:rsidRDefault="0783902A" w:rsidP="003464F4">
      <w:pPr>
        <w:pStyle w:val="Guidelines1"/>
      </w:pPr>
      <w:bookmarkStart w:id="1" w:name="_Toc145057259"/>
      <w:r w:rsidRPr="00912AA1">
        <w:lastRenderedPageBreak/>
        <w:t>GRANT SCHEME FOR TüRKİYE-EU BUSINESS DIALOGUE II</w:t>
      </w:r>
      <w:r w:rsidR="00E322C8" w:rsidRPr="00912AA1">
        <w:t xml:space="preserve"> (TEBD-II)</w:t>
      </w:r>
      <w:bookmarkEnd w:id="1"/>
    </w:p>
    <w:p w14:paraId="19B49473" w14:textId="124D5B7E" w:rsidR="0007408E" w:rsidRPr="00912AA1" w:rsidRDefault="0F90D236" w:rsidP="00B95230">
      <w:pPr>
        <w:pStyle w:val="Guidelines2"/>
      </w:pPr>
      <w:bookmarkStart w:id="2" w:name="_Toc145057260"/>
      <w:r w:rsidRPr="00912AA1">
        <w:t>Background</w:t>
      </w:r>
      <w:bookmarkEnd w:id="2"/>
    </w:p>
    <w:p w14:paraId="577FDF7F" w14:textId="249A80AC" w:rsidR="00C62294" w:rsidRPr="00C62294" w:rsidRDefault="0F90D236" w:rsidP="003A723F">
      <w:pPr>
        <w:spacing w:before="120" w:after="0"/>
      </w:pPr>
      <w:r>
        <w:t xml:space="preserve">In complementary fashion to the formal </w:t>
      </w:r>
      <w:proofErr w:type="spellStart"/>
      <w:r w:rsidR="00E322C8">
        <w:t>Türkiye</w:t>
      </w:r>
      <w:proofErr w:type="spellEnd"/>
      <w:r w:rsidR="008F69BE">
        <w:rPr>
          <w:rStyle w:val="CommentReference"/>
        </w:rPr>
        <w:t>-</w:t>
      </w:r>
      <w:r w:rsidR="008F69BE">
        <w:t xml:space="preserve">EU </w:t>
      </w:r>
      <w:r>
        <w:t>accession process</w:t>
      </w:r>
      <w:r w:rsidR="00771030">
        <w:t>,</w:t>
      </w:r>
      <w:r>
        <w:t xml:space="preserve"> there is a wider civil society dialogue between the communities of T</w:t>
      </w:r>
      <w:r w:rsidR="00471499">
        <w:t>ürkiye</w:t>
      </w:r>
      <w:r>
        <w:t xml:space="preserve"> and the Member States. This civil society dialogue happens among all kinds of organizations and sectors, including those organizations representing the business sector, and since 2001 has been facilitated through programmes co-financed between </w:t>
      </w:r>
      <w:proofErr w:type="spellStart"/>
      <w:r>
        <w:t>T</w:t>
      </w:r>
      <w:r w:rsidR="00471499">
        <w:t>ürkiye</w:t>
      </w:r>
      <w:proofErr w:type="spellEnd"/>
      <w:r w:rsidR="008F69BE" w:rsidRPr="008F69BE">
        <w:t xml:space="preserve"> </w:t>
      </w:r>
      <w:r w:rsidR="008F69BE">
        <w:t>and the EU</w:t>
      </w:r>
      <w:r>
        <w:t xml:space="preserve">. This dialogue not only contributes to the societies being better prepared for the enlargement of the EU and assisting them to engage in the accession processes, but also directly contributes, through its associated actions, to making the citizens of </w:t>
      </w:r>
      <w:r w:rsidRPr="00C57AF5">
        <w:t>T</w:t>
      </w:r>
      <w:r w:rsidR="00697F15" w:rsidRPr="00E322C8">
        <w:t>ürkiye</w:t>
      </w:r>
      <w:r w:rsidR="004B160F" w:rsidRPr="00E322C8">
        <w:t xml:space="preserve"> </w:t>
      </w:r>
      <w:r w:rsidRPr="00E322C8">
        <w:t>an</w:t>
      </w:r>
      <w:r>
        <w:t>d the EU more prosperous.</w:t>
      </w:r>
    </w:p>
    <w:p w14:paraId="2E9D6C54" w14:textId="57C47962" w:rsidR="00C62294" w:rsidRPr="00C62294" w:rsidRDefault="0F90D236" w:rsidP="00771030">
      <w:pPr>
        <w:spacing w:before="120" w:after="0"/>
      </w:pPr>
      <w:r>
        <w:t xml:space="preserve">The Turkish Chamber Development Programme (TCDP) </w:t>
      </w:r>
      <w:r w:rsidR="00771030">
        <w:t xml:space="preserve">and TCDP-II were </w:t>
      </w:r>
      <w:r>
        <w:t>launched in 2001</w:t>
      </w:r>
      <w:r w:rsidR="00771030">
        <w:t xml:space="preserve"> and 2004 respectively,</w:t>
      </w:r>
      <w:r>
        <w:t xml:space="preserve"> as part of the EU’s “Civil Society Development Programme” with an overall objective of reinforcing civil society </w:t>
      </w:r>
      <w:r w:rsidRPr="00E322C8">
        <w:t xml:space="preserve">in </w:t>
      </w:r>
      <w:r w:rsidR="00697F15" w:rsidRPr="00C57AF5">
        <w:t>Türkiye</w:t>
      </w:r>
      <w:r w:rsidRPr="00E322C8">
        <w:t xml:space="preserve">. </w:t>
      </w:r>
      <w:r w:rsidR="00771030">
        <w:t xml:space="preserve">In TCDP, </w:t>
      </w:r>
      <w:r>
        <w:t>9 partnerships between European and Turkish Chambers were successfully established.</w:t>
      </w:r>
      <w:r w:rsidR="008F69BE">
        <w:t xml:space="preserve"> </w:t>
      </w:r>
      <w:r w:rsidR="00771030">
        <w:t>In TCDP-II,</w:t>
      </w:r>
      <w:r>
        <w:t xml:space="preserve"> 6 new partnerships were established while 4 already established partnerships were extended by introducing additional Turkish Chambers.</w:t>
      </w:r>
      <w:r w:rsidR="00771030" w:rsidRPr="00771030">
        <w:t xml:space="preserve"> </w:t>
      </w:r>
      <w:r w:rsidR="00AF5BD6">
        <w:t>TCDP</w:t>
      </w:r>
      <w:r w:rsidR="00771030">
        <w:t xml:space="preserve"> </w:t>
      </w:r>
      <w:r w:rsidR="00AF5BD6">
        <w:t>P</w:t>
      </w:r>
      <w:r w:rsidR="00771030">
        <w:t>rogramme</w:t>
      </w:r>
      <w:r w:rsidR="00512A39">
        <w:t>s</w:t>
      </w:r>
      <w:r w:rsidR="00771030">
        <w:t xml:space="preserve"> aimed at strengthening the role of Turkish Chambers in their activities to enhance the internationalisation of enterprises, and their role as key players in local development.</w:t>
      </w:r>
    </w:p>
    <w:p w14:paraId="1B5B33C2" w14:textId="0670B0A5" w:rsidR="00C62294" w:rsidRPr="00C62294" w:rsidRDefault="0F90D236" w:rsidP="00A55E65">
      <w:pPr>
        <w:spacing w:before="120" w:after="0"/>
      </w:pPr>
      <w:r>
        <w:t>EU-</w:t>
      </w:r>
      <w:proofErr w:type="spellStart"/>
      <w:r w:rsidR="00697F15">
        <w:t>Türkiye</w:t>
      </w:r>
      <w:proofErr w:type="spellEnd"/>
      <w:r w:rsidR="00697F15">
        <w:t xml:space="preserve"> </w:t>
      </w:r>
      <w:r>
        <w:t xml:space="preserve">Chambers Forum-I (ETCF-I) was </w:t>
      </w:r>
      <w:r w:rsidR="00A128F8">
        <w:t xml:space="preserve">launched </w:t>
      </w:r>
      <w:r>
        <w:t xml:space="preserve">in the 2009 and went one step further and developed a wider range of activities, addressing both the capacity of Turkish Chambers in developing innovative services and putting more focus on the EU accession negotiations with the grant and direct grant component. </w:t>
      </w:r>
      <w:r w:rsidR="00BF04E7">
        <w:t>ETCF</w:t>
      </w:r>
      <w:r w:rsidR="00997F2A">
        <w:t>-I</w:t>
      </w:r>
      <w:r>
        <w:t xml:space="preserve"> led the establishment of 22 chamber partnerships involving a total of 56 chambers from </w:t>
      </w:r>
      <w:r w:rsidR="00697F15">
        <w:t>Türkiye</w:t>
      </w:r>
      <w:r>
        <w:t>, EU and Croatia.</w:t>
      </w:r>
      <w:r w:rsidR="00BC5D80" w:rsidRPr="00BC5D80">
        <w:t xml:space="preserve"> </w:t>
      </w:r>
      <w:r w:rsidR="00BC5D80">
        <w:t>ETCF II was implemented between June 2011 and June 2014 with similar objectives and 21 chamber partnerships among 39 Turkish and 31 EU based chambers were established as a result.</w:t>
      </w:r>
      <w:r w:rsidR="00064885">
        <w:t xml:space="preserve"> </w:t>
      </w:r>
      <w:r w:rsidR="00A55E65">
        <w:t>T</w:t>
      </w:r>
      <w:r>
        <w:t xml:space="preserve">he capacity building activities including surveys on </w:t>
      </w:r>
      <w:proofErr w:type="spellStart"/>
      <w:r w:rsidR="008F69BE">
        <w:t>Türkiye</w:t>
      </w:r>
      <w:proofErr w:type="spellEnd"/>
      <w:r w:rsidR="008F69BE">
        <w:t>-</w:t>
      </w:r>
      <w:r>
        <w:t>EU</w:t>
      </w:r>
      <w:r w:rsidR="00697F15">
        <w:t xml:space="preserve"> </w:t>
      </w:r>
      <w:r>
        <w:t xml:space="preserve">relations from EU and </w:t>
      </w:r>
      <w:proofErr w:type="spellStart"/>
      <w:r w:rsidR="00697F15">
        <w:t>Türkiye</w:t>
      </w:r>
      <w:proofErr w:type="spellEnd"/>
      <w:r w:rsidR="00697F15">
        <w:t xml:space="preserve"> </w:t>
      </w:r>
      <w:r>
        <w:t>perspective</w:t>
      </w:r>
      <w:r w:rsidR="00F96342">
        <w:t>s</w:t>
      </w:r>
      <w:r>
        <w:t xml:space="preserve">, an EU training program for EU Studies, </w:t>
      </w:r>
      <w:r w:rsidR="00881709">
        <w:t xml:space="preserve">Eurochambres Academies, </w:t>
      </w:r>
      <w:r>
        <w:t xml:space="preserve">an </w:t>
      </w:r>
      <w:r w:rsidRPr="0F90D236">
        <w:rPr>
          <w:i/>
          <w:iCs/>
        </w:rPr>
        <w:t>acquis</w:t>
      </w:r>
      <w:r>
        <w:t xml:space="preserve"> audit program</w:t>
      </w:r>
      <w:r w:rsidR="00291EB6">
        <w:t>me</w:t>
      </w:r>
      <w:r w:rsidR="00064885">
        <w:t xml:space="preserve"> </w:t>
      </w:r>
      <w:r>
        <w:t>and study visits to EU countries</w:t>
      </w:r>
      <w:r w:rsidR="00A55E65">
        <w:t xml:space="preserve"> were implemented in the ETCF</w:t>
      </w:r>
      <w:r w:rsidR="00BC5D80">
        <w:t xml:space="preserve"> I and</w:t>
      </w:r>
      <w:r w:rsidR="00A55E65">
        <w:t xml:space="preserve"> II</w:t>
      </w:r>
      <w:r>
        <w:t xml:space="preserve">. </w:t>
      </w:r>
    </w:p>
    <w:p w14:paraId="1629621F" w14:textId="27E8D26B" w:rsidR="005E43B0" w:rsidRDefault="0F90D236" w:rsidP="00991604">
      <w:pPr>
        <w:spacing w:before="120" w:after="0"/>
      </w:pPr>
      <w:r>
        <w:t xml:space="preserve">In order to assess the impact, relevance and sustainability of the various activities under ETCF-I and II, an </w:t>
      </w:r>
      <w:r w:rsidRPr="0F90D236">
        <w:rPr>
          <w:b/>
          <w:bCs/>
        </w:rPr>
        <w:t>impact assessment</w:t>
      </w:r>
      <w:r>
        <w:t xml:space="preserve"> was carried out from October 2016 – March 2017. The findings of this impact assessment help designing the next generation of civil society dialogue mechanisms between Turkish and EU based chambers including the Grant Scheme for </w:t>
      </w:r>
      <w:proofErr w:type="spellStart"/>
      <w:r w:rsidR="00697F15">
        <w:t>Türkiye</w:t>
      </w:r>
      <w:proofErr w:type="spellEnd"/>
      <w:r>
        <w:t xml:space="preserve">-EU Business Dialogue (TEBD). </w:t>
      </w:r>
      <w:r w:rsidR="00391895">
        <w:t>“</w:t>
      </w:r>
      <w:proofErr w:type="spellStart"/>
      <w:r w:rsidR="00391895" w:rsidRPr="0783902A">
        <w:rPr>
          <w:b/>
          <w:bCs/>
        </w:rPr>
        <w:t>T</w:t>
      </w:r>
      <w:r w:rsidR="00697F15">
        <w:rPr>
          <w:b/>
          <w:bCs/>
        </w:rPr>
        <w:t>ürkiye</w:t>
      </w:r>
      <w:proofErr w:type="spellEnd"/>
      <w:r w:rsidR="00391895" w:rsidRPr="0783902A">
        <w:rPr>
          <w:b/>
          <w:bCs/>
        </w:rPr>
        <w:t>-EU Business Dialogue (TEBD)</w:t>
      </w:r>
      <w:r w:rsidR="00391895">
        <w:t xml:space="preserve">” programme </w:t>
      </w:r>
      <w:r w:rsidR="0783902A">
        <w:t>was implemented</w:t>
      </w:r>
      <w:r w:rsidR="00AF5BD6">
        <w:t xml:space="preserve"> by the Association of European Chambers of Commerce and Industry (Eurochambres)</w:t>
      </w:r>
      <w:r w:rsidR="0783902A">
        <w:t xml:space="preserve"> between July 2018 and February 2023. During the implementation period of the TEBD Project, 19 chamber partnership projects involving Chambers of Commerce and/or Industry or Commodity Exchanges in Türkiye and in the EU were supported through Grant Scheme Component between April 2019 and August 2021. 30 Turkish and 28 EU based Chambers from 12 EU countries were involved in TEBD Chamber Partnership Grant Scheme. </w:t>
      </w:r>
    </w:p>
    <w:p w14:paraId="3FAFD02D" w14:textId="0229BF35" w:rsidR="0007408E" w:rsidRPr="007A2293" w:rsidRDefault="0783902A" w:rsidP="00991604">
      <w:pPr>
        <w:spacing w:before="120" w:after="0"/>
        <w:rPr>
          <w:szCs w:val="22"/>
        </w:rPr>
      </w:pPr>
      <w:r>
        <w:t>With the aim of improving the above</w:t>
      </w:r>
      <w:r w:rsidR="00BB1BD7">
        <w:t>-</w:t>
      </w:r>
      <w:r>
        <w:t>mentioned programmes with the new strategies of EU Commission in IPA III, the second phase of the TEBD project namely, “</w:t>
      </w:r>
      <w:r w:rsidRPr="00B6258B">
        <w:rPr>
          <w:b/>
        </w:rPr>
        <w:t>Türkiye-EU Business Dialogue II (TEBD II)</w:t>
      </w:r>
      <w:r>
        <w:t xml:space="preserve">” has been designed. </w:t>
      </w:r>
      <w:r w:rsidRPr="00C57AF5">
        <w:t xml:space="preserve">This programme consists of </w:t>
      </w:r>
      <w:r w:rsidR="000057BA">
        <w:t>d</w:t>
      </w:r>
      <w:r w:rsidR="000057BA" w:rsidRPr="00C57AF5">
        <w:t xml:space="preserve">irect </w:t>
      </w:r>
      <w:r w:rsidR="000057BA">
        <w:t>g</w:t>
      </w:r>
      <w:r w:rsidR="000057BA" w:rsidRPr="00C57AF5">
        <w:t xml:space="preserve">rant </w:t>
      </w:r>
      <w:r w:rsidRPr="00C57AF5">
        <w:t xml:space="preserve">component and </w:t>
      </w:r>
      <w:r w:rsidR="000057BA">
        <w:t>g</w:t>
      </w:r>
      <w:r w:rsidR="000057BA" w:rsidRPr="00C57AF5">
        <w:t xml:space="preserve">rant </w:t>
      </w:r>
      <w:r w:rsidR="000057BA">
        <w:t>s</w:t>
      </w:r>
      <w:r w:rsidR="000057BA" w:rsidRPr="00C57AF5">
        <w:t xml:space="preserve">cheme </w:t>
      </w:r>
      <w:r w:rsidRPr="00C57AF5">
        <w:t>component.</w:t>
      </w:r>
      <w:r w:rsidRPr="000057BA">
        <w:t xml:space="preserve"> </w:t>
      </w:r>
      <w:r w:rsidRPr="00C57AF5">
        <w:t xml:space="preserve">Among other activities, technical assistance to grant beneficiaries will be provided within the direct grant by </w:t>
      </w:r>
      <w:proofErr w:type="spellStart"/>
      <w:r w:rsidRPr="00C57AF5">
        <w:t>Eurochambres</w:t>
      </w:r>
      <w:proofErr w:type="spellEnd"/>
      <w:r w:rsidRPr="00C57AF5">
        <w:t>.</w:t>
      </w:r>
      <w:r>
        <w:t xml:space="preserve"> </w:t>
      </w:r>
      <w:r w:rsidR="00391895" w:rsidRPr="00B6258B">
        <w:rPr>
          <w:bCs/>
        </w:rPr>
        <w:t>TEBD-II Project</w:t>
      </w:r>
      <w:r w:rsidR="00391895">
        <w:t xml:space="preserve"> falls under the Thematic Priority 7: Civil Society under the Window 1: rule of law, fundamental rights and democracy” of the IPA III Programming of the 2021-2027 period</w:t>
      </w:r>
      <w:r w:rsidR="005E43B0">
        <w:t>.</w:t>
      </w:r>
      <w:r w:rsidR="00AD12A4">
        <w:t xml:space="preserve"> </w:t>
      </w:r>
      <w:r>
        <w:t xml:space="preserve">This </w:t>
      </w:r>
      <w:r w:rsidR="000057BA">
        <w:t xml:space="preserve">guidelines </w:t>
      </w:r>
      <w:r>
        <w:t xml:space="preserve">for </w:t>
      </w:r>
      <w:r w:rsidR="000057BA">
        <w:t xml:space="preserve">grant applicants </w:t>
      </w:r>
      <w:proofErr w:type="gramStart"/>
      <w:r>
        <w:t>describes</w:t>
      </w:r>
      <w:proofErr w:type="gramEnd"/>
      <w:r>
        <w:t xml:space="preserve"> the objectives, priorities and eligibility rules of the </w:t>
      </w:r>
      <w:r w:rsidR="000057BA">
        <w:t>grant scheme</w:t>
      </w:r>
      <w:r>
        <w:t>.</w:t>
      </w:r>
    </w:p>
    <w:p w14:paraId="6BC2CC1F" w14:textId="1E984C59" w:rsidR="00991604" w:rsidRDefault="0783902A" w:rsidP="003A723F">
      <w:pPr>
        <w:spacing w:before="120" w:after="0"/>
        <w:rPr>
          <w:lang w:val="tr-TR"/>
        </w:rPr>
      </w:pPr>
      <w:r>
        <w:t xml:space="preserve">The institutional framework of present programme includes, </w:t>
      </w:r>
      <w:r w:rsidRPr="00C57AF5">
        <w:rPr>
          <w:b/>
        </w:rPr>
        <w:t>Directorate for EU Affairs (DEUA)</w:t>
      </w:r>
      <w:r>
        <w:t xml:space="preserve"> as the </w:t>
      </w:r>
      <w:r w:rsidRPr="00C57AF5">
        <w:rPr>
          <w:b/>
        </w:rPr>
        <w:t>Managing Authority (MA)</w:t>
      </w:r>
      <w:r w:rsidR="000057BA">
        <w:rPr>
          <w:b/>
        </w:rPr>
        <w:t>,</w:t>
      </w:r>
      <w:r>
        <w:t xml:space="preserve"> who will be responsible for the overall coordination and monitoring of the programme; </w:t>
      </w:r>
      <w:r w:rsidR="000057BA">
        <w:t>t</w:t>
      </w:r>
      <w:r w:rsidR="00DE569E">
        <w:t xml:space="preserve">he </w:t>
      </w:r>
      <w:r w:rsidR="00DE569E" w:rsidRPr="00C57AF5">
        <w:rPr>
          <w:b/>
        </w:rPr>
        <w:t>Union of Chambers and Commodity Exchanges of Türkiye (</w:t>
      </w:r>
      <w:r w:rsidRPr="00C57AF5">
        <w:rPr>
          <w:b/>
        </w:rPr>
        <w:t>TOBB</w:t>
      </w:r>
      <w:r w:rsidR="00DE569E" w:rsidRPr="00C57AF5">
        <w:rPr>
          <w:b/>
        </w:rPr>
        <w:t>)</w:t>
      </w:r>
      <w:r w:rsidRPr="00C57AF5">
        <w:rPr>
          <w:b/>
        </w:rPr>
        <w:t xml:space="preserve"> </w:t>
      </w:r>
      <w:r>
        <w:t xml:space="preserve">as </w:t>
      </w:r>
      <w:r w:rsidRPr="00C57AF5">
        <w:rPr>
          <w:b/>
        </w:rPr>
        <w:t>the Intermediate Body for Policy Management (IBPM)</w:t>
      </w:r>
      <w:r>
        <w:t xml:space="preserve"> of the Project</w:t>
      </w:r>
      <w:r w:rsidR="000057BA">
        <w:t>,</w:t>
      </w:r>
      <w:r>
        <w:t xml:space="preserve"> who will be in charge of technical implementation and management of the programme, monitoring of the grants awarded</w:t>
      </w:r>
      <w:r w:rsidR="000057BA">
        <w:t>; and</w:t>
      </w:r>
      <w:r w:rsidR="00A55E65" w:rsidRPr="00DE569E">
        <w:t xml:space="preserve"> </w:t>
      </w:r>
      <w:r w:rsidR="000057BA">
        <w:t xml:space="preserve">the </w:t>
      </w:r>
      <w:r w:rsidR="000057BA" w:rsidRPr="008A2F3A">
        <w:rPr>
          <w:b/>
        </w:rPr>
        <w:t>Central Finance and Contracts Unit (CFCU)</w:t>
      </w:r>
      <w:r w:rsidR="000057BA">
        <w:t xml:space="preserve">, </w:t>
      </w:r>
      <w:r w:rsidR="000057BA" w:rsidRPr="008A2F3A">
        <w:rPr>
          <w:b/>
        </w:rPr>
        <w:t>as the Intermediate Body for Financial Management (IBFM)</w:t>
      </w:r>
      <w:r w:rsidR="000057BA">
        <w:t xml:space="preserve"> for the programme, is responsible for the administrative and financial implementation of the grant scheme including the tendering, contracting and payments. </w:t>
      </w:r>
      <w:r w:rsidR="00DE569E">
        <w:t xml:space="preserve">The </w:t>
      </w:r>
      <w:r w:rsidR="00DE569E" w:rsidRPr="00C57AF5">
        <w:rPr>
          <w:b/>
        </w:rPr>
        <w:t>Association of European Chambers of Commerce and Industry (Eurochambres)</w:t>
      </w:r>
      <w:r w:rsidR="00DE569E">
        <w:t>,</w:t>
      </w:r>
      <w:r w:rsidR="00DE569E" w:rsidRPr="00DE569E">
        <w:t xml:space="preserve"> </w:t>
      </w:r>
      <w:r w:rsidR="00DE569E">
        <w:t>as the</w:t>
      </w:r>
      <w:r w:rsidR="00DE569E" w:rsidRPr="00DE569E">
        <w:t xml:space="preserve"> “recipient” </w:t>
      </w:r>
      <w:r w:rsidR="00DE569E">
        <w:t xml:space="preserve">of the direct grant, is responsible for the monitoring </w:t>
      </w:r>
      <w:r w:rsidR="00F85C30" w:rsidRPr="00C57AF5">
        <w:t xml:space="preserve">of grant contracts </w:t>
      </w:r>
      <w:r w:rsidR="00DE569E" w:rsidRPr="000057BA">
        <w:t>and</w:t>
      </w:r>
      <w:r w:rsidR="00DE569E">
        <w:t xml:space="preserve"> providing ongoing assistance to the grant beneficiaries</w:t>
      </w:r>
      <w:r w:rsidR="00F85C30">
        <w:rPr>
          <w:lang w:val="tr-TR"/>
        </w:rPr>
        <w:t xml:space="preserve">. </w:t>
      </w:r>
    </w:p>
    <w:p w14:paraId="5EE7E84F" w14:textId="77777777" w:rsidR="000057BA" w:rsidRDefault="000057BA" w:rsidP="003A723F">
      <w:pPr>
        <w:spacing w:before="120" w:after="0"/>
      </w:pPr>
    </w:p>
    <w:p w14:paraId="56D2245D" w14:textId="542C430D" w:rsidR="0007408E" w:rsidRPr="000F5BBF" w:rsidRDefault="0F90D236" w:rsidP="00B95230">
      <w:pPr>
        <w:pStyle w:val="Guidelines2"/>
      </w:pPr>
      <w:bookmarkStart w:id="3" w:name="_Toc144383785"/>
      <w:bookmarkStart w:id="4" w:name="_Toc144383839"/>
      <w:bookmarkStart w:id="5" w:name="_Toc144384829"/>
      <w:bookmarkStart w:id="6" w:name="_Toc144384924"/>
      <w:bookmarkStart w:id="7" w:name="_Toc144385085"/>
      <w:bookmarkStart w:id="8" w:name="_Toc144385515"/>
      <w:bookmarkStart w:id="9" w:name="_Toc145057261"/>
      <w:bookmarkEnd w:id="3"/>
      <w:bookmarkEnd w:id="4"/>
      <w:bookmarkEnd w:id="5"/>
      <w:bookmarkEnd w:id="6"/>
      <w:bookmarkEnd w:id="7"/>
      <w:bookmarkEnd w:id="8"/>
      <w:r w:rsidRPr="000F5BBF">
        <w:t>Objectives of the programme and priority issues</w:t>
      </w:r>
      <w:bookmarkEnd w:id="9"/>
      <w:r w:rsidRPr="000F5BBF">
        <w:t xml:space="preserve"> </w:t>
      </w:r>
    </w:p>
    <w:p w14:paraId="06B50213" w14:textId="7D75BB41" w:rsidR="005249F3" w:rsidRDefault="005249F3" w:rsidP="003A723F">
      <w:pPr>
        <w:spacing w:before="120" w:after="0"/>
        <w:rPr>
          <w:szCs w:val="22"/>
        </w:rPr>
      </w:pPr>
      <w:r w:rsidRPr="0F90D236">
        <w:t xml:space="preserve">The </w:t>
      </w:r>
      <w:r w:rsidRPr="0F90D236">
        <w:rPr>
          <w:b/>
          <w:bCs/>
        </w:rPr>
        <w:t>global objective</w:t>
      </w:r>
      <w:r w:rsidRPr="0F90D236">
        <w:t xml:space="preserve"> of this call for proposals</w:t>
      </w:r>
      <w:r w:rsidR="00B9188E" w:rsidRPr="0F90D236">
        <w:t xml:space="preserve"> is</w:t>
      </w:r>
      <w:r w:rsidRPr="0F90D236">
        <w:t xml:space="preserve"> </w:t>
      </w:r>
      <w:r w:rsidR="00687B48" w:rsidRPr="0F90D236">
        <w:rPr>
          <w:lang w:val="en-US"/>
        </w:rPr>
        <w:t>to strengthen mutual knowledge and understanding between Turkish Chambers and their counterparts in the EU</w:t>
      </w:r>
      <w:r w:rsidR="002E03B1" w:rsidRPr="0F90D236">
        <w:rPr>
          <w:lang w:val="en-US"/>
        </w:rPr>
        <w:t>;</w:t>
      </w:r>
      <w:r w:rsidR="00687B48" w:rsidRPr="0F90D236">
        <w:rPr>
          <w:spacing w:val="-2"/>
        </w:rPr>
        <w:t xml:space="preserve"> thus</w:t>
      </w:r>
      <w:r w:rsidR="00BB4D20" w:rsidRPr="0F90D236">
        <w:t>,</w:t>
      </w:r>
      <w:r w:rsidR="00687B48" w:rsidRPr="0F90D236">
        <w:rPr>
          <w:spacing w:val="-2"/>
        </w:rPr>
        <w:t xml:space="preserve"> promoting the integration of European and Turkish business communities</w:t>
      </w:r>
      <w:r w:rsidR="00687B48" w:rsidRPr="0F90D236">
        <w:t>.</w:t>
      </w:r>
      <w:r w:rsidR="002E03B1" w:rsidRPr="0F90D236">
        <w:rPr>
          <w:lang w:val="en-US"/>
        </w:rPr>
        <w:t xml:space="preserve"> </w:t>
      </w:r>
      <w:r w:rsidRPr="0F90D236">
        <w:t xml:space="preserve">The </w:t>
      </w:r>
      <w:r w:rsidRPr="0F90D236">
        <w:rPr>
          <w:b/>
          <w:bCs/>
        </w:rPr>
        <w:t xml:space="preserve">specific objectives </w:t>
      </w:r>
      <w:r w:rsidRPr="0F90D236">
        <w:t>of this call for proposals are:</w:t>
      </w:r>
    </w:p>
    <w:p w14:paraId="3EC7A26C" w14:textId="33712C0D" w:rsidR="00515FEE" w:rsidRPr="00FB7A32" w:rsidRDefault="00515FEE" w:rsidP="00515FEE">
      <w:pPr>
        <w:numPr>
          <w:ilvl w:val="0"/>
          <w:numId w:val="34"/>
        </w:numPr>
        <w:spacing w:before="120" w:after="0"/>
      </w:pPr>
      <w:r w:rsidRPr="00FB7A32">
        <w:t xml:space="preserve">the provision of opportunities to chambers in </w:t>
      </w:r>
      <w:proofErr w:type="spellStart"/>
      <w:r w:rsidR="008F69BE">
        <w:t>Türkiye</w:t>
      </w:r>
      <w:proofErr w:type="spellEnd"/>
      <w:r w:rsidR="008F69BE">
        <w:t xml:space="preserve"> and the </w:t>
      </w:r>
      <w:r w:rsidRPr="00FB7A32">
        <w:t>EU for</w:t>
      </w:r>
      <w:r w:rsidRPr="00EF6954">
        <w:t xml:space="preserve"> </w:t>
      </w:r>
      <w:r w:rsidRPr="00FB7A32">
        <w:t>networkin</w:t>
      </w:r>
      <w:r w:rsidR="00F26F21">
        <w:t xml:space="preserve">g, </w:t>
      </w:r>
      <w:r w:rsidRPr="00FB7A32">
        <w:t>sustainable collaboration</w:t>
      </w:r>
      <w:r w:rsidR="00BE2309">
        <w:t xml:space="preserve"> and exchange of best practices in order to ensure deeper integration of both </w:t>
      </w:r>
      <w:r w:rsidR="008F69BE">
        <w:t xml:space="preserve">Turkish and </w:t>
      </w:r>
      <w:r w:rsidR="00BE2309">
        <w:t xml:space="preserve">EU </w:t>
      </w:r>
      <w:r w:rsidR="00B62C78">
        <w:t>b</w:t>
      </w:r>
      <w:r w:rsidR="00BE2309">
        <w:t>usiness communit</w:t>
      </w:r>
      <w:r w:rsidR="00F85C30">
        <w:t>ies</w:t>
      </w:r>
      <w:r>
        <w:t>,</w:t>
      </w:r>
    </w:p>
    <w:p w14:paraId="691D549D" w14:textId="4125B42F" w:rsidR="005249F3" w:rsidRPr="00435DE4" w:rsidRDefault="0F90D236" w:rsidP="0F90D236">
      <w:pPr>
        <w:numPr>
          <w:ilvl w:val="0"/>
          <w:numId w:val="34"/>
        </w:numPr>
        <w:spacing w:before="120" w:after="0"/>
      </w:pPr>
      <w:r>
        <w:t>to strengthen the capacity of Turkish Chambers in improving/adding new services</w:t>
      </w:r>
      <w:r w:rsidR="00743680">
        <w:t xml:space="preserve"> in a sustainable way</w:t>
      </w:r>
      <w:r>
        <w:t xml:space="preserve"> to their members, </w:t>
      </w:r>
    </w:p>
    <w:p w14:paraId="52E22BA1" w14:textId="17B3BA07" w:rsidR="00C03469" w:rsidRDefault="003C24F5" w:rsidP="00C03866">
      <w:pPr>
        <w:numPr>
          <w:ilvl w:val="0"/>
          <w:numId w:val="34"/>
        </w:numPr>
        <w:spacing w:before="120" w:after="0"/>
      </w:pPr>
      <w:r w:rsidRPr="00C57AF5">
        <w:t xml:space="preserve">to </w:t>
      </w:r>
      <w:r w:rsidR="001B0C51" w:rsidRPr="00C57AF5">
        <w:t>enhanc</w:t>
      </w:r>
      <w:r w:rsidRPr="00E322C8">
        <w:t>e</w:t>
      </w:r>
      <w:r w:rsidR="001B0C51" w:rsidRPr="00C57AF5">
        <w:t xml:space="preserve"> the capacity of Turkish chambers to support green and resilient recovery from the impact of COVID-19,</w:t>
      </w:r>
      <w:r w:rsidR="00F85C30">
        <w:t xml:space="preserve"> </w:t>
      </w:r>
      <w:r w:rsidR="001B0C51" w:rsidRPr="00C57AF5">
        <w:t>improvement of resource and energy-efficiency of businesses (esp. SMEs) and</w:t>
      </w:r>
      <w:r w:rsidR="004C5857" w:rsidRPr="00EF6954">
        <w:t xml:space="preserve"> </w:t>
      </w:r>
      <w:r w:rsidR="001B0C51" w:rsidRPr="00C57AF5">
        <w:t>the transition to the circular economy, participation in carbon markets, improvement of business resilience to climate change impacts</w:t>
      </w:r>
      <w:r w:rsidR="00F85C30">
        <w:t>,</w:t>
      </w:r>
    </w:p>
    <w:p w14:paraId="2543F057" w14:textId="3CB30623" w:rsidR="005249F3" w:rsidRPr="00435DE4" w:rsidRDefault="0783902A" w:rsidP="00D85694">
      <w:pPr>
        <w:numPr>
          <w:ilvl w:val="0"/>
          <w:numId w:val="34"/>
        </w:numPr>
        <w:spacing w:before="120" w:after="0"/>
      </w:pPr>
      <w:r>
        <w:t>to increase the participation of the business community in political life in Türkiye, in particular in providing input to green transition</w:t>
      </w:r>
      <w:r w:rsidR="00DD0A15" w:rsidRPr="00095FFE">
        <w:t xml:space="preserve"> </w:t>
      </w:r>
      <w:r w:rsidR="00F85C30">
        <w:t xml:space="preserve">and </w:t>
      </w:r>
      <w:r w:rsidR="00095FFE" w:rsidRPr="00C57AF5">
        <w:t>modernis</w:t>
      </w:r>
      <w:r w:rsidR="00F85C30">
        <w:t>ation of</w:t>
      </w:r>
      <w:r>
        <w:t xml:space="preserve"> the Customs Union between the EU and </w:t>
      </w:r>
      <w:proofErr w:type="spellStart"/>
      <w:r>
        <w:t>Türkiye</w:t>
      </w:r>
      <w:proofErr w:type="spellEnd"/>
      <w:r>
        <w:t xml:space="preserve">, </w:t>
      </w:r>
    </w:p>
    <w:p w14:paraId="388BA300" w14:textId="77777777" w:rsidR="005249F3" w:rsidRDefault="0F90D236" w:rsidP="00D85694">
      <w:pPr>
        <w:snapToGrid w:val="0"/>
        <w:spacing w:before="120" w:after="0"/>
        <w:rPr>
          <w:szCs w:val="22"/>
        </w:rPr>
      </w:pPr>
      <w:r w:rsidRPr="00004EAB">
        <w:t xml:space="preserve">All projects should respond to </w:t>
      </w:r>
      <w:r w:rsidRPr="00004EAB">
        <w:rPr>
          <w:b/>
          <w:bCs/>
        </w:rPr>
        <w:t>at least one</w:t>
      </w:r>
      <w:r w:rsidRPr="00004EAB">
        <w:t xml:space="preserve"> of the specific objectives of this call for proposals.</w:t>
      </w:r>
    </w:p>
    <w:p w14:paraId="380FBAC0" w14:textId="5E4746D0" w:rsidR="00D85694" w:rsidRPr="00B7153E" w:rsidRDefault="00D85694" w:rsidP="00D85694">
      <w:pPr>
        <w:spacing w:before="120" w:after="0"/>
      </w:pPr>
      <w:r w:rsidRPr="00B73F3F">
        <w:t>The priorities of this call for proposal</w:t>
      </w:r>
      <w:r>
        <w:t>s</w:t>
      </w:r>
      <w:r w:rsidRPr="00B73F3F">
        <w:t xml:space="preserve"> are:</w:t>
      </w:r>
    </w:p>
    <w:p w14:paraId="6EA95510" w14:textId="77777777" w:rsidR="005249F3" w:rsidRPr="004E1E7F" w:rsidRDefault="0F90D236" w:rsidP="00D85694">
      <w:pPr>
        <w:numPr>
          <w:ilvl w:val="0"/>
          <w:numId w:val="35"/>
        </w:numPr>
        <w:snapToGrid w:val="0"/>
        <w:spacing w:before="120" w:after="0"/>
      </w:pPr>
      <w:r>
        <w:t>to strengthen sustainable collaboration and mutual knowledge between Turkish and European Chambers and business communities.</w:t>
      </w:r>
    </w:p>
    <w:p w14:paraId="635A6E5F" w14:textId="6F748681" w:rsidR="009F43CB" w:rsidRDefault="0783902A" w:rsidP="00D85694">
      <w:pPr>
        <w:numPr>
          <w:ilvl w:val="0"/>
          <w:numId w:val="35"/>
        </w:numPr>
        <w:snapToGrid w:val="0"/>
        <w:spacing w:before="120" w:after="0"/>
      </w:pPr>
      <w:r>
        <w:t>to enhance opportunities for networking and contacts between chambers in</w:t>
      </w:r>
      <w:r w:rsidR="008F69BE">
        <w:t xml:space="preserve"> </w:t>
      </w:r>
      <w:proofErr w:type="spellStart"/>
      <w:r w:rsidR="008F69BE">
        <w:t>Türkiye</w:t>
      </w:r>
      <w:proofErr w:type="spellEnd"/>
      <w:r w:rsidR="008F69BE">
        <w:t xml:space="preserve"> and</w:t>
      </w:r>
      <w:r>
        <w:t xml:space="preserve"> the EU leading to long term sustainable cooperation.</w:t>
      </w:r>
    </w:p>
    <w:p w14:paraId="08816D2B" w14:textId="33FBFB88" w:rsidR="00BB4D20" w:rsidRDefault="0F90D236" w:rsidP="00D85694">
      <w:pPr>
        <w:numPr>
          <w:ilvl w:val="0"/>
          <w:numId w:val="35"/>
        </w:numPr>
        <w:snapToGrid w:val="0"/>
        <w:spacing w:before="120" w:after="0"/>
      </w:pPr>
      <w:r>
        <w:t>to enhance the capacity of Turkish Chambers to support recovery of Covid-19, the transition to the circular economy, and provide up-to-date services in a sustainable way to their members, i.e. related to EU acquis, EU Green Deal, Digitalisation.</w:t>
      </w:r>
    </w:p>
    <w:p w14:paraId="64ED6393" w14:textId="6459071C" w:rsidR="00BB4D20" w:rsidRDefault="00D85694" w:rsidP="00590C18">
      <w:pPr>
        <w:spacing w:before="120" w:after="120"/>
        <w:jc w:val="left"/>
        <w:rPr>
          <w:szCs w:val="22"/>
        </w:rPr>
      </w:pPr>
      <w:r w:rsidRPr="00004EAB">
        <w:rPr>
          <w:szCs w:val="22"/>
        </w:rPr>
        <w:t xml:space="preserve">The proposed project should fall into </w:t>
      </w:r>
      <w:r w:rsidRPr="00004EAB">
        <w:rPr>
          <w:b/>
          <w:szCs w:val="22"/>
        </w:rPr>
        <w:t>at least</w:t>
      </w:r>
      <w:r w:rsidRPr="00004EAB">
        <w:rPr>
          <w:szCs w:val="22"/>
        </w:rPr>
        <w:t xml:space="preserve"> </w:t>
      </w:r>
      <w:r w:rsidRPr="00004EAB">
        <w:rPr>
          <w:b/>
          <w:szCs w:val="22"/>
        </w:rPr>
        <w:t xml:space="preserve">one </w:t>
      </w:r>
      <w:r w:rsidRPr="00004EAB">
        <w:rPr>
          <w:szCs w:val="22"/>
        </w:rPr>
        <w:t>of the priorities of the call for proposals.</w:t>
      </w:r>
    </w:p>
    <w:p w14:paraId="27AF1537" w14:textId="47893615" w:rsidR="0007408E" w:rsidRPr="00807DAF" w:rsidRDefault="0F90D236" w:rsidP="00B95230">
      <w:pPr>
        <w:pStyle w:val="Guidelines2"/>
      </w:pPr>
      <w:bookmarkStart w:id="10" w:name="_Toc145057262"/>
      <w:r>
        <w:t>Financial allocation provided by the contracting authority</w:t>
      </w:r>
      <w:bookmarkEnd w:id="10"/>
    </w:p>
    <w:p w14:paraId="00BAA14D" w14:textId="77777777" w:rsidR="00DF4443" w:rsidRPr="00807DAF" w:rsidRDefault="0F90D236" w:rsidP="003A723F">
      <w:pPr>
        <w:spacing w:before="120" w:after="0"/>
      </w:pPr>
      <w:r>
        <w:t xml:space="preserve">The overall indicative amount made available under this call for proposals is EUR </w:t>
      </w:r>
      <w:r w:rsidRPr="0F90D236">
        <w:rPr>
          <w:b/>
          <w:bCs/>
        </w:rPr>
        <w:t>2.500.000</w:t>
      </w:r>
      <w:r>
        <w:t>. The contracting authority reserves the right not to award all available funds.</w:t>
      </w:r>
    </w:p>
    <w:p w14:paraId="12CAB222" w14:textId="77777777" w:rsidR="00DF4443" w:rsidRPr="003A723F" w:rsidRDefault="0F90D236" w:rsidP="0F90D236">
      <w:pPr>
        <w:spacing w:before="120" w:after="0"/>
        <w:rPr>
          <w:b/>
          <w:bCs/>
        </w:rPr>
      </w:pPr>
      <w:r w:rsidRPr="0F90D236">
        <w:rPr>
          <w:b/>
          <w:bCs/>
        </w:rPr>
        <w:t>Size of grants</w:t>
      </w:r>
    </w:p>
    <w:p w14:paraId="05208DCF" w14:textId="77777777" w:rsidR="00DF4443" w:rsidRPr="00934091" w:rsidRDefault="0F90D236" w:rsidP="003A723F">
      <w:pPr>
        <w:spacing w:before="120" w:after="0"/>
      </w:pPr>
      <w:r>
        <w:t>Any grant requested under this call for proposals must fall between the following minimum and maximum amounts:</w:t>
      </w:r>
    </w:p>
    <w:p w14:paraId="6ED549C2" w14:textId="25B0B95B" w:rsidR="00704D95" w:rsidRPr="00734363" w:rsidRDefault="0F90D236" w:rsidP="0F90D236">
      <w:pPr>
        <w:numPr>
          <w:ilvl w:val="0"/>
          <w:numId w:val="36"/>
        </w:numPr>
        <w:spacing w:before="120" w:after="0"/>
        <w:rPr>
          <w:lang w:val="fr-FR"/>
        </w:rPr>
      </w:pPr>
      <w:r>
        <w:t xml:space="preserve">minimum amount: </w:t>
      </w:r>
      <w:r w:rsidRPr="0F90D236">
        <w:rPr>
          <w:b/>
          <w:bCs/>
        </w:rPr>
        <w:t>EUR 100.000</w:t>
      </w:r>
    </w:p>
    <w:p w14:paraId="3A382D7D" w14:textId="325B3CB1" w:rsidR="00DF4443" w:rsidRPr="00734363" w:rsidRDefault="0F90D236" w:rsidP="003A723F">
      <w:pPr>
        <w:numPr>
          <w:ilvl w:val="0"/>
          <w:numId w:val="36"/>
        </w:numPr>
        <w:spacing w:before="120" w:after="0"/>
      </w:pPr>
      <w:r>
        <w:t xml:space="preserve">maximum amount: </w:t>
      </w:r>
      <w:r w:rsidRPr="0F90D236">
        <w:rPr>
          <w:b/>
          <w:bCs/>
        </w:rPr>
        <w:t>EUR</w:t>
      </w:r>
      <w:r>
        <w:t xml:space="preserve"> </w:t>
      </w:r>
      <w:r w:rsidRPr="0F90D236">
        <w:rPr>
          <w:b/>
          <w:bCs/>
        </w:rPr>
        <w:t>150.000</w:t>
      </w:r>
    </w:p>
    <w:p w14:paraId="6A42BBFF" w14:textId="77777777" w:rsidR="00712AE1" w:rsidRPr="00D6320B" w:rsidRDefault="0F90D236" w:rsidP="003A723F">
      <w:pPr>
        <w:spacing w:before="120" w:after="0"/>
      </w:pPr>
      <w:r>
        <w:t>Any grant requested under this call for proposals must fall between the following minimum and maximum percentages of total eligible costs of the action:</w:t>
      </w:r>
    </w:p>
    <w:p w14:paraId="1D3322B2" w14:textId="4672ADF0" w:rsidR="00712AE1" w:rsidRPr="00D6320B" w:rsidRDefault="0F90D236" w:rsidP="003A723F">
      <w:pPr>
        <w:numPr>
          <w:ilvl w:val="0"/>
          <w:numId w:val="49"/>
        </w:numPr>
        <w:spacing w:before="120" w:after="0"/>
      </w:pPr>
      <w:r>
        <w:t xml:space="preserve">Minimum percentage: </w:t>
      </w:r>
      <w:r w:rsidRPr="0F90D236">
        <w:rPr>
          <w:b/>
          <w:bCs/>
        </w:rPr>
        <w:t>50%</w:t>
      </w:r>
      <w:r>
        <w:t xml:space="preserve"> of the total eligible costs of the action.</w:t>
      </w:r>
    </w:p>
    <w:p w14:paraId="027D4842" w14:textId="77777777" w:rsidR="00360ABE" w:rsidRDefault="0F90D236" w:rsidP="003A723F">
      <w:pPr>
        <w:numPr>
          <w:ilvl w:val="0"/>
          <w:numId w:val="49"/>
        </w:numPr>
        <w:spacing w:before="120" w:after="0"/>
      </w:pPr>
      <w:bookmarkStart w:id="11" w:name="_Hlk144470796"/>
      <w:r>
        <w:t xml:space="preserve">Maximum percentage: </w:t>
      </w:r>
    </w:p>
    <w:p w14:paraId="4DC6C035" w14:textId="332D301F" w:rsidR="00712AE1" w:rsidRPr="00D8041C" w:rsidRDefault="0F90D236" w:rsidP="00360ABE">
      <w:pPr>
        <w:numPr>
          <w:ilvl w:val="1"/>
          <w:numId w:val="49"/>
        </w:numPr>
        <w:spacing w:before="120" w:after="0"/>
      </w:pPr>
      <w:r w:rsidRPr="0F90D236">
        <w:rPr>
          <w:b/>
          <w:bCs/>
        </w:rPr>
        <w:t>9</w:t>
      </w:r>
      <w:r w:rsidR="00360ABE">
        <w:rPr>
          <w:b/>
          <w:bCs/>
        </w:rPr>
        <w:t>0</w:t>
      </w:r>
      <w:r w:rsidRPr="0F90D236">
        <w:rPr>
          <w:b/>
          <w:bCs/>
        </w:rPr>
        <w:t xml:space="preserve">% </w:t>
      </w:r>
      <w:r>
        <w:t xml:space="preserve">of the total eligible costs of the action (see also </w:t>
      </w:r>
      <w:r w:rsidRPr="00D8041C">
        <w:t>section 2.1.5)</w:t>
      </w:r>
      <w:r w:rsidR="00360ABE">
        <w:t xml:space="preserve">: If the lead applicant </w:t>
      </w:r>
      <w:r w:rsidR="00360ABE" w:rsidRPr="009C3793">
        <w:rPr>
          <w:b/>
        </w:rPr>
        <w:t>receive</w:t>
      </w:r>
      <w:r w:rsidR="00360ABE">
        <w:rPr>
          <w:b/>
        </w:rPr>
        <w:t>d</w:t>
      </w:r>
      <w:r w:rsidR="00360ABE" w:rsidRPr="009C3793">
        <w:rPr>
          <w:b/>
        </w:rPr>
        <w:t xml:space="preserve"> a grant</w:t>
      </w:r>
      <w:r w:rsidR="00360ABE">
        <w:t xml:space="preserve"> as a “lead applicant” or “co-applicant” during the TEBD-I Grant Scheme</w:t>
      </w:r>
      <w:r w:rsidR="007F4605">
        <w:t>.</w:t>
      </w:r>
    </w:p>
    <w:p w14:paraId="5CC89E46" w14:textId="5486C453" w:rsidR="00712AE1" w:rsidRDefault="00360ABE" w:rsidP="00360ABE">
      <w:pPr>
        <w:numPr>
          <w:ilvl w:val="1"/>
          <w:numId w:val="49"/>
        </w:numPr>
        <w:tabs>
          <w:tab w:val="left" w:pos="426"/>
        </w:tabs>
        <w:spacing w:before="120" w:after="0"/>
      </w:pPr>
      <w:r w:rsidRPr="00D8041C">
        <w:rPr>
          <w:b/>
          <w:bCs/>
        </w:rPr>
        <w:t>9</w:t>
      </w:r>
      <w:r>
        <w:rPr>
          <w:b/>
          <w:bCs/>
        </w:rPr>
        <w:t>5</w:t>
      </w:r>
      <w:r w:rsidR="0F90D236" w:rsidRPr="00D8041C">
        <w:rPr>
          <w:b/>
          <w:bCs/>
        </w:rPr>
        <w:t>%</w:t>
      </w:r>
      <w:r w:rsidR="0F90D236" w:rsidRPr="00D8041C">
        <w:t xml:space="preserve"> of the total estimated eligible costs of the action (see also Section 2.1.5)</w:t>
      </w:r>
      <w:r>
        <w:t xml:space="preserve">: If the lead applicant </w:t>
      </w:r>
      <w:r w:rsidR="007F4605" w:rsidRPr="009C3793">
        <w:rPr>
          <w:b/>
        </w:rPr>
        <w:t>did</w:t>
      </w:r>
      <w:r w:rsidRPr="009C3793">
        <w:rPr>
          <w:b/>
        </w:rPr>
        <w:t xml:space="preserve"> not </w:t>
      </w:r>
      <w:r w:rsidR="0F90D236" w:rsidRPr="007F4605">
        <w:rPr>
          <w:b/>
          <w:bCs/>
        </w:rPr>
        <w:t>receive</w:t>
      </w:r>
      <w:r w:rsidR="0F90D236">
        <w:t xml:space="preserve"> </w:t>
      </w:r>
      <w:r>
        <w:t xml:space="preserve">a </w:t>
      </w:r>
      <w:r w:rsidR="0F90D236">
        <w:t>grant during the TEBD</w:t>
      </w:r>
      <w:r w:rsidR="007F4605">
        <w:t>-I</w:t>
      </w:r>
      <w:r w:rsidR="0F90D236">
        <w:t xml:space="preserve"> Grant Scheme.</w:t>
      </w:r>
    </w:p>
    <w:bookmarkEnd w:id="11"/>
    <w:p w14:paraId="474ED3EF" w14:textId="255A7F16" w:rsidR="00BB4D20" w:rsidRDefault="00712AE1" w:rsidP="00BB4D20">
      <w:pPr>
        <w:tabs>
          <w:tab w:val="left" w:pos="426"/>
        </w:tabs>
        <w:spacing w:before="120" w:after="0"/>
      </w:pPr>
      <w:r w:rsidRPr="0F90D236">
        <w:lastRenderedPageBreak/>
        <w:t xml:space="preserve">The balance (i.e. the difference between the total cost of the action and the amount requested from the </w:t>
      </w:r>
      <w:r w:rsidR="00F32F8F">
        <w:t>c</w:t>
      </w:r>
      <w:r w:rsidRPr="0F90D236">
        <w:t xml:space="preserve">ontracting </w:t>
      </w:r>
      <w:r w:rsidR="00F32F8F">
        <w:t>a</w:t>
      </w:r>
      <w:r w:rsidRPr="0F90D236">
        <w:t>uthority) must be financed from sources other than the European Union Budget or the European Development Fund</w:t>
      </w:r>
      <w:r w:rsidR="00BA1054">
        <w:rPr>
          <w:rStyle w:val="FootnoteReference"/>
        </w:rPr>
        <w:footnoteReference w:id="2"/>
      </w:r>
      <w:r w:rsidRPr="0F90D236">
        <w:t>.</w:t>
      </w:r>
    </w:p>
    <w:p w14:paraId="0AB48730" w14:textId="3110FE14" w:rsidR="0007408E" w:rsidRPr="00807DAF" w:rsidRDefault="0783902A" w:rsidP="00A47D20">
      <w:pPr>
        <w:pStyle w:val="Guidelines1"/>
      </w:pPr>
      <w:bookmarkStart w:id="12" w:name="_Toc145057263"/>
      <w:r w:rsidRPr="0783902A">
        <w:t>Rules FOR thIS call for proposalS</w:t>
      </w:r>
      <w:bookmarkEnd w:id="12"/>
    </w:p>
    <w:p w14:paraId="4AB2E50C" w14:textId="3E60E300" w:rsidR="0007408E" w:rsidRPr="00807DAF" w:rsidRDefault="0F90D236" w:rsidP="003A723F">
      <w:pPr>
        <w:spacing w:before="120" w:after="0"/>
      </w:pPr>
      <w:r>
        <w:t xml:space="preserve">These guidelines set out the rules for the submission, selection and implementation of the actions financed under this call, in conformity with the practical guide, which is applicable to the present call (available on the internet at this address </w:t>
      </w:r>
      <w:hyperlink r:id="rId21">
        <w:r w:rsidRPr="0F90D236">
          <w:rPr>
            <w:rStyle w:val="Hyperlink"/>
          </w:rPr>
          <w:t>https://wikis.ec.europa.eu/display/ExactExternalWiki/ePRAG</w:t>
        </w:r>
      </w:hyperlink>
      <w:r>
        <w:t>).</w:t>
      </w:r>
    </w:p>
    <w:p w14:paraId="4C09E86E" w14:textId="4EA034DB" w:rsidR="0007408E" w:rsidRPr="000F5BBF" w:rsidRDefault="0F90D236" w:rsidP="00B95230">
      <w:pPr>
        <w:pStyle w:val="Guidelines2"/>
      </w:pPr>
      <w:bookmarkStart w:id="13" w:name="_Toc145057264"/>
      <w:r w:rsidRPr="000F5BBF">
        <w:t>Eligibility criteria</w:t>
      </w:r>
      <w:bookmarkEnd w:id="13"/>
    </w:p>
    <w:p w14:paraId="3326B375" w14:textId="77777777" w:rsidR="0007408E" w:rsidRPr="00807DAF" w:rsidRDefault="0F90D236" w:rsidP="003A723F">
      <w:pPr>
        <w:spacing w:before="120" w:after="0"/>
      </w:pPr>
      <w:r>
        <w:t>There are three sets of eligibility criteria, relating to:</w:t>
      </w:r>
    </w:p>
    <w:p w14:paraId="6EBF4DC4" w14:textId="77777777" w:rsidR="003477DE" w:rsidRPr="00807DAF" w:rsidRDefault="0F90D236" w:rsidP="003A723F">
      <w:pPr>
        <w:numPr>
          <w:ilvl w:val="0"/>
          <w:numId w:val="25"/>
        </w:numPr>
        <w:spacing w:before="120" w:after="0"/>
      </w:pPr>
      <w:r>
        <w:t>the actors (2.1.1.):</w:t>
      </w:r>
    </w:p>
    <w:p w14:paraId="3C17563C" w14:textId="77777777" w:rsidR="003477DE" w:rsidRPr="00807DAF" w:rsidRDefault="0F90D236" w:rsidP="003A723F">
      <w:pPr>
        <w:numPr>
          <w:ilvl w:val="0"/>
          <w:numId w:val="13"/>
        </w:numPr>
        <w:spacing w:before="120" w:after="0"/>
        <w:ind w:left="1134"/>
      </w:pPr>
      <w:r>
        <w:t>the ‘</w:t>
      </w:r>
      <w:r w:rsidRPr="0F90D236">
        <w:rPr>
          <w:b/>
          <w:bCs/>
        </w:rPr>
        <w:t>lead applicant’</w:t>
      </w:r>
      <w:r>
        <w:t>, i.e. the entity submitting the application form;</w:t>
      </w:r>
    </w:p>
    <w:p w14:paraId="6654035A" w14:textId="39A0287C" w:rsidR="003477DE" w:rsidRDefault="0F90D236" w:rsidP="003A723F">
      <w:pPr>
        <w:numPr>
          <w:ilvl w:val="0"/>
          <w:numId w:val="13"/>
        </w:numPr>
        <w:spacing w:before="120" w:after="0"/>
        <w:ind w:left="1134"/>
      </w:pPr>
      <w:r>
        <w:t xml:space="preserve">its </w:t>
      </w:r>
      <w:r w:rsidRPr="0F90D236">
        <w:rPr>
          <w:b/>
          <w:bCs/>
        </w:rPr>
        <w:t>co-applicant(s)</w:t>
      </w:r>
      <w:r>
        <w:t xml:space="preserve"> (</w:t>
      </w:r>
      <w:r w:rsidRPr="0F90D236">
        <w:rPr>
          <w:b/>
          <w:bCs/>
          <w:u w:val="single"/>
        </w:rPr>
        <w:t>where it is not specified otherwise the lead applicant and its co-applicant(s) are hereinafter jointly referred as ‘applicant(s)’</w:t>
      </w:r>
      <w:r>
        <w:t>);</w:t>
      </w:r>
    </w:p>
    <w:p w14:paraId="503DE31B" w14:textId="5A9818AE" w:rsidR="00503BC4" w:rsidRPr="00807DAF" w:rsidRDefault="00503BC4" w:rsidP="003A723F">
      <w:pPr>
        <w:numPr>
          <w:ilvl w:val="0"/>
          <w:numId w:val="13"/>
        </w:numPr>
        <w:spacing w:before="120" w:after="0"/>
        <w:ind w:left="1134"/>
      </w:pPr>
      <w:r>
        <w:t xml:space="preserve">and, if any, </w:t>
      </w:r>
      <w:r>
        <w:rPr>
          <w:b/>
        </w:rPr>
        <w:t>affiliated entity(</w:t>
      </w:r>
      <w:proofErr w:type="spellStart"/>
      <w:r>
        <w:rPr>
          <w:b/>
        </w:rPr>
        <w:t>ies</w:t>
      </w:r>
      <w:proofErr w:type="spellEnd"/>
      <w:r>
        <w:rPr>
          <w:b/>
        </w:rPr>
        <w:t xml:space="preserve">) </w:t>
      </w:r>
      <w:r>
        <w:t>to the lead applicant and/or to a co-applicant(s);</w:t>
      </w:r>
    </w:p>
    <w:p w14:paraId="7A52F387" w14:textId="078000B4" w:rsidR="00E95995" w:rsidRPr="00D8041C" w:rsidRDefault="0F90D236" w:rsidP="003A723F">
      <w:pPr>
        <w:numPr>
          <w:ilvl w:val="0"/>
          <w:numId w:val="25"/>
        </w:numPr>
        <w:spacing w:before="120" w:after="0"/>
      </w:pPr>
      <w:r>
        <w:t xml:space="preserve">the actions </w:t>
      </w:r>
      <w:r w:rsidRPr="00004EAB">
        <w:t>(2.1.4.):</w:t>
      </w:r>
    </w:p>
    <w:p w14:paraId="5B558E4F" w14:textId="5BCA20A9" w:rsidR="003477DE" w:rsidRPr="00D8041C" w:rsidRDefault="0F90D236" w:rsidP="003A723F">
      <w:pPr>
        <w:pStyle w:val="ListParagraph"/>
        <w:numPr>
          <w:ilvl w:val="0"/>
          <w:numId w:val="51"/>
        </w:numPr>
        <w:spacing w:before="120" w:after="0"/>
      </w:pPr>
      <w:r w:rsidRPr="00D8041C">
        <w:t>actions for which a grant may be awarded;</w:t>
      </w:r>
    </w:p>
    <w:p w14:paraId="7C4147BC" w14:textId="54A7A958" w:rsidR="00E95995" w:rsidRPr="00D8041C" w:rsidRDefault="0F90D236" w:rsidP="003A723F">
      <w:pPr>
        <w:numPr>
          <w:ilvl w:val="0"/>
          <w:numId w:val="25"/>
        </w:numPr>
        <w:spacing w:before="120" w:after="0"/>
      </w:pPr>
      <w:r w:rsidRPr="00D8041C">
        <w:t xml:space="preserve">the costs </w:t>
      </w:r>
      <w:r w:rsidRPr="00004EAB">
        <w:t>(2.1.5.):</w:t>
      </w:r>
    </w:p>
    <w:p w14:paraId="38CC5876" w14:textId="12391719" w:rsidR="00267E4F" w:rsidRPr="00807DAF" w:rsidRDefault="0F90D236" w:rsidP="00C57AF5">
      <w:pPr>
        <w:numPr>
          <w:ilvl w:val="0"/>
          <w:numId w:val="13"/>
        </w:numPr>
        <w:spacing w:before="120" w:after="0"/>
        <w:ind w:left="1134"/>
        <w:jc w:val="left"/>
      </w:pPr>
      <w:r>
        <w:t xml:space="preserve">types of cost that may be </w:t>
      </w:r>
      <w:proofErr w:type="gramStart"/>
      <w:r>
        <w:t>taken into account</w:t>
      </w:r>
      <w:proofErr w:type="gramEnd"/>
      <w:r>
        <w:t xml:space="preserve"> in setting the amount of the grant.</w:t>
      </w:r>
    </w:p>
    <w:p w14:paraId="4D856FA0" w14:textId="24F5DDBB" w:rsidR="0007408E" w:rsidRPr="00807DAF" w:rsidRDefault="0F90D236" w:rsidP="00A47D20">
      <w:pPr>
        <w:pStyle w:val="Guidelines3"/>
        <w:numPr>
          <w:ilvl w:val="2"/>
          <w:numId w:val="68"/>
        </w:numPr>
        <w:outlineLvl w:val="2"/>
      </w:pPr>
      <w:bookmarkStart w:id="14" w:name="_Toc145057265"/>
      <w:r>
        <w:t>Eligibility of applicants (i.e. lead applicant and co-applicant(s))</w:t>
      </w:r>
      <w:bookmarkEnd w:id="14"/>
    </w:p>
    <w:p w14:paraId="13182F5C" w14:textId="77777777" w:rsidR="004127BD" w:rsidRPr="00951BF6" w:rsidRDefault="0F90D236" w:rsidP="0F90D236">
      <w:pPr>
        <w:spacing w:before="120" w:after="0"/>
        <w:rPr>
          <w:b/>
          <w:bCs/>
        </w:rPr>
      </w:pPr>
      <w:r w:rsidRPr="0F90D236">
        <w:rPr>
          <w:b/>
          <w:bCs/>
        </w:rPr>
        <w:t>Lead applicant</w:t>
      </w:r>
    </w:p>
    <w:p w14:paraId="21DD94EC" w14:textId="77777777" w:rsidR="0007408E" w:rsidRPr="00807DAF" w:rsidRDefault="006E0555" w:rsidP="003A723F">
      <w:pPr>
        <w:spacing w:before="120" w:after="0"/>
        <w:ind w:left="426" w:hanging="426"/>
      </w:pPr>
      <w:r w:rsidRPr="00807DAF">
        <w:t>(1)</w:t>
      </w:r>
      <w:r w:rsidRPr="00807DAF">
        <w:tab/>
      </w:r>
      <w:r w:rsidR="006A36F9" w:rsidRPr="00807DAF">
        <w:t xml:space="preserve">In order to be eligible for a grant, the </w:t>
      </w:r>
      <w:r w:rsidR="00ED0176">
        <w:t>lead a</w:t>
      </w:r>
      <w:r w:rsidR="006A36F9" w:rsidRPr="00807DAF">
        <w:t>pplicant must:</w:t>
      </w:r>
    </w:p>
    <w:p w14:paraId="370F0D23" w14:textId="6E942584" w:rsidR="0007408E" w:rsidRPr="006A5031" w:rsidRDefault="0F90D236" w:rsidP="003A723F">
      <w:pPr>
        <w:numPr>
          <w:ilvl w:val="0"/>
          <w:numId w:val="14"/>
        </w:numPr>
        <w:spacing w:before="120" w:after="0"/>
      </w:pPr>
      <w:r>
        <w:t xml:space="preserve">be a legal person, </w:t>
      </w:r>
      <w:r w:rsidRPr="0F90D236">
        <w:rPr>
          <w:b/>
          <w:bCs/>
        </w:rPr>
        <w:t xml:space="preserve">and </w:t>
      </w:r>
    </w:p>
    <w:p w14:paraId="5777B8AD" w14:textId="6F1005BE" w:rsidR="0032711C" w:rsidRPr="006A5031" w:rsidRDefault="0F90D236" w:rsidP="003A723F">
      <w:pPr>
        <w:numPr>
          <w:ilvl w:val="0"/>
          <w:numId w:val="14"/>
        </w:numPr>
        <w:spacing w:before="120" w:after="0"/>
      </w:pPr>
      <w:r>
        <w:t xml:space="preserve">be non-profit-making, </w:t>
      </w:r>
      <w:r w:rsidRPr="0F90D236">
        <w:rPr>
          <w:b/>
          <w:bCs/>
        </w:rPr>
        <w:t>and</w:t>
      </w:r>
    </w:p>
    <w:p w14:paraId="7CB88955" w14:textId="58DDB2E4" w:rsidR="003C1684" w:rsidRDefault="003C1684" w:rsidP="003A723F">
      <w:pPr>
        <w:numPr>
          <w:ilvl w:val="0"/>
          <w:numId w:val="14"/>
        </w:numPr>
        <w:spacing w:before="120" w:after="0"/>
      </w:pPr>
      <w:r w:rsidRPr="004820EC">
        <w:t>be established in</w:t>
      </w:r>
      <w:r w:rsidRPr="004820EC">
        <w:rPr>
          <w:rStyle w:val="FootnoteReference"/>
        </w:rPr>
        <w:footnoteReference w:id="3"/>
      </w:r>
      <w:r w:rsidRPr="004820EC">
        <w:t xml:space="preserve"> a Member</w:t>
      </w:r>
      <w:r w:rsidRPr="00F059AF">
        <w:t xml:space="preserve"> State of the European Union or </w:t>
      </w:r>
      <w:proofErr w:type="spellStart"/>
      <w:r w:rsidRPr="00F059AF">
        <w:t>T</w:t>
      </w:r>
      <w:r w:rsidR="002F02DF">
        <w:t>ürkiye</w:t>
      </w:r>
      <w:proofErr w:type="spellEnd"/>
      <w:r w:rsidRPr="00F059AF">
        <w:t xml:space="preserve"> or </w:t>
      </w:r>
      <w:r w:rsidRPr="003A22CB">
        <w:t>an eligible</w:t>
      </w:r>
      <w:r w:rsidR="00756AB9">
        <w:rPr>
          <w:rStyle w:val="FootnoteReference"/>
        </w:rPr>
        <w:footnoteReference w:id="4"/>
      </w:r>
      <w:r w:rsidR="002E77A6">
        <w:t xml:space="preserve"> </w:t>
      </w:r>
      <w:r w:rsidRPr="003A22CB">
        <w:t>country according to the IPA Regulation</w:t>
      </w:r>
      <w:r w:rsidRPr="00F059AF">
        <w:rPr>
          <w:rStyle w:val="FootnoteReference"/>
        </w:rPr>
        <w:footnoteReference w:id="5"/>
      </w:r>
      <w:r w:rsidR="00C37935" w:rsidRPr="0783902A">
        <w:t>,</w:t>
      </w:r>
      <w:r w:rsidR="009C7444" w:rsidRPr="0783902A">
        <w:t xml:space="preserve"> </w:t>
      </w:r>
      <w:r w:rsidRPr="0F90D236">
        <w:rPr>
          <w:b/>
          <w:bCs/>
        </w:rPr>
        <w:t>and</w:t>
      </w:r>
    </w:p>
    <w:p w14:paraId="4E798EE5" w14:textId="4C24BF60" w:rsidR="003C1684" w:rsidRPr="002D704D" w:rsidRDefault="0F90D236" w:rsidP="003A723F">
      <w:pPr>
        <w:numPr>
          <w:ilvl w:val="0"/>
          <w:numId w:val="14"/>
        </w:numPr>
        <w:spacing w:before="120" w:after="0"/>
      </w:pPr>
      <w:r>
        <w:t>be directly responsible for the preparation and management of the action with the co-applicant(s)</w:t>
      </w:r>
      <w:r w:rsidR="00C57AF5">
        <w:t xml:space="preserve"> </w:t>
      </w:r>
      <w:r w:rsidR="00C57AF5" w:rsidRPr="00807DAF">
        <w:t>and affiliated entity(</w:t>
      </w:r>
      <w:proofErr w:type="spellStart"/>
      <w:r w:rsidR="00C57AF5" w:rsidRPr="00807DAF">
        <w:t>ies</w:t>
      </w:r>
      <w:proofErr w:type="spellEnd"/>
      <w:r w:rsidR="00C57AF5" w:rsidRPr="00807DAF">
        <w:t xml:space="preserve">), </w:t>
      </w:r>
      <w:r>
        <w:t xml:space="preserve">not acting as an intermediary, </w:t>
      </w:r>
      <w:r w:rsidRPr="0F90D236">
        <w:rPr>
          <w:b/>
          <w:bCs/>
        </w:rPr>
        <w:t>and</w:t>
      </w:r>
    </w:p>
    <w:p w14:paraId="7CF36C9A" w14:textId="72854299" w:rsidR="00C138D7" w:rsidRPr="00B55072" w:rsidRDefault="00C138D7" w:rsidP="003A723F">
      <w:pPr>
        <w:pStyle w:val="ListBullet"/>
        <w:numPr>
          <w:ilvl w:val="0"/>
          <w:numId w:val="14"/>
        </w:numPr>
        <w:spacing w:before="120" w:after="0"/>
      </w:pPr>
      <w:r w:rsidRPr="0F90D236">
        <w:rPr>
          <w:lang w:val="en-US"/>
        </w:rPr>
        <w:lastRenderedPageBreak/>
        <w:t>be a member organization of TOBB</w:t>
      </w:r>
      <w:r w:rsidRPr="0F90D236">
        <w:rPr>
          <w:rStyle w:val="FootnoteReference"/>
          <w:b/>
          <w:bCs/>
          <w:lang w:val="en-US"/>
        </w:rPr>
        <w:footnoteReference w:id="6"/>
      </w:r>
      <w:r w:rsidR="00C37935" w:rsidRPr="0F90D236">
        <w:rPr>
          <w:lang w:val="en-US"/>
        </w:rPr>
        <w:t>,</w:t>
      </w:r>
      <w:r w:rsidRPr="0F90D236">
        <w:rPr>
          <w:b/>
          <w:bCs/>
          <w:lang w:val="en-US"/>
        </w:rPr>
        <w:t xml:space="preserve"> </w:t>
      </w:r>
      <w:r w:rsidR="00C37935" w:rsidRPr="0F90D236">
        <w:rPr>
          <w:b/>
          <w:bCs/>
          <w:lang w:val="en-US"/>
        </w:rPr>
        <w:t>OR</w:t>
      </w:r>
    </w:p>
    <w:p w14:paraId="38DC09B9" w14:textId="0DE8AF99" w:rsidR="00C138D7" w:rsidRPr="003C4088" w:rsidRDefault="00C138D7" w:rsidP="003A723F">
      <w:pPr>
        <w:pStyle w:val="ListBullet"/>
        <w:numPr>
          <w:ilvl w:val="0"/>
          <w:numId w:val="14"/>
        </w:numPr>
        <w:spacing w:before="120" w:after="0"/>
      </w:pPr>
      <w:r w:rsidRPr="0F90D236">
        <w:rPr>
          <w:lang w:val="en-US"/>
        </w:rPr>
        <w:t>be a local/regional</w:t>
      </w:r>
      <w:r w:rsidR="00C57AF5">
        <w:rPr>
          <w:lang w:val="en-US"/>
        </w:rPr>
        <w:t>/</w:t>
      </w:r>
      <w:r w:rsidRPr="0F90D236">
        <w:rPr>
          <w:lang w:val="en-US"/>
        </w:rPr>
        <w:t>national chamber or union of chambers (established in an EU Member State or an eligible country according to the IPA Regulation</w:t>
      </w:r>
      <w:r w:rsidRPr="0F90D236">
        <w:rPr>
          <w:vertAlign w:val="superscript"/>
          <w:lang w:val="en-US"/>
        </w:rPr>
        <w:t>3</w:t>
      </w:r>
      <w:r w:rsidRPr="0F90D236">
        <w:rPr>
          <w:lang w:val="en-US"/>
        </w:rPr>
        <w:t>) represented by E</w:t>
      </w:r>
      <w:r w:rsidR="00847F61" w:rsidRPr="0F90D236">
        <w:rPr>
          <w:lang w:val="en-US"/>
        </w:rPr>
        <w:t>urochambres</w:t>
      </w:r>
      <w:r w:rsidRPr="0F90D236">
        <w:rPr>
          <w:rStyle w:val="FootnoteReference"/>
          <w:lang w:val="en-US"/>
        </w:rPr>
        <w:footnoteReference w:id="7"/>
      </w:r>
      <w:r w:rsidRPr="0F90D236">
        <w:rPr>
          <w:lang w:val="en-US"/>
        </w:rPr>
        <w:t>.</w:t>
      </w:r>
    </w:p>
    <w:p w14:paraId="59A90D93" w14:textId="36AE4F08" w:rsidR="006A0AD3" w:rsidRDefault="00DE6435" w:rsidP="003A723F">
      <w:pPr>
        <w:spacing w:before="120" w:after="0"/>
        <w:ind w:left="425" w:hanging="425"/>
      </w:pPr>
      <w:r w:rsidRPr="00807DAF">
        <w:t>(2)</w:t>
      </w:r>
      <w:r w:rsidR="007E58A6" w:rsidRPr="00807DAF">
        <w:tab/>
      </w:r>
      <w:r w:rsidR="002F0314">
        <w:t>P</w:t>
      </w:r>
      <w:r w:rsidR="0007408E" w:rsidRPr="00807DAF">
        <w:t>otential applicant</w:t>
      </w:r>
      <w:r w:rsidR="002F0314">
        <w:t>s</w:t>
      </w:r>
      <w:r w:rsidR="006A36F9" w:rsidRPr="00807DAF">
        <w:t xml:space="preserve"> </w:t>
      </w:r>
      <w:r w:rsidR="0007408E" w:rsidRPr="00807DAF">
        <w:t>may not participate in calls for proposals or be awarded grants if</w:t>
      </w:r>
      <w:r w:rsidR="002F3F27" w:rsidRPr="00807DAF">
        <w:t xml:space="preserve"> </w:t>
      </w:r>
      <w:r w:rsidR="002F0314">
        <w:t xml:space="preserve">they are </w:t>
      </w:r>
      <w:r w:rsidR="006A0AD3" w:rsidRPr="00807DAF">
        <w:t xml:space="preserve">in any of the situations listed in </w:t>
      </w:r>
      <w:r w:rsidR="00B01659">
        <w:t>S</w:t>
      </w:r>
      <w:r w:rsidR="006A0AD3" w:rsidRPr="00807DAF">
        <w:t>ection 2.</w:t>
      </w:r>
      <w:r w:rsidR="006D36D0">
        <w:t>6.10.1</w:t>
      </w:r>
      <w:r w:rsidR="006A0AD3" w:rsidRPr="00807DAF">
        <w:t xml:space="preserve"> of the </w:t>
      </w:r>
      <w:r w:rsidR="009D7AC9">
        <w:t>p</w:t>
      </w:r>
      <w:r w:rsidR="006A0AD3" w:rsidRPr="00807DAF">
        <w:t xml:space="preserve">ractical </w:t>
      </w:r>
      <w:r w:rsidR="009D7AC9">
        <w:t>g</w:t>
      </w:r>
      <w:r w:rsidR="006A0AD3" w:rsidRPr="00807DAF">
        <w:t>uide;</w:t>
      </w:r>
    </w:p>
    <w:p w14:paraId="7F5DFEEC" w14:textId="4C158C13" w:rsidR="00B175EE" w:rsidRPr="004F4B50" w:rsidRDefault="00503BC4" w:rsidP="003A723F">
      <w:pPr>
        <w:spacing w:before="120" w:after="0"/>
      </w:pPr>
      <w:r>
        <w:rPr>
          <w:lang w:eastAsia="en-GB"/>
        </w:rPr>
        <w:t>Lead applicants, co-applicants, affiliated entities and, in case of legal entities, persons who have powers of representation, decision-making or control over the lead applicant, the co-applicants and the affiliated entities are informed that, should they be in one of the situations of early detection or exclusion according to Section 2.6.10.1 of the practical guide, personal details (name, given name if natural person, address, legal form and name and given name of the persons with powers of representation, decision-making or control, if legal person) may be registered in the early detection and exclusion system, and communicated to the persons and entities concerned in relation to the award or the execution of a grant contract.</w:t>
      </w:r>
      <w:r>
        <w:t xml:space="preserve"> In this respect, provisionally selected lead applicants, co-applicants and affiliated entities or those placed in the reserve list are obliged to declare that they are not in one of the exclusion situations through a signed declaration on honour </w:t>
      </w:r>
      <w:r w:rsidR="0F90D236">
        <w:t>(</w:t>
      </w:r>
      <w:r w:rsidR="0F90D236" w:rsidRPr="00004EAB">
        <w:t>Annex H).</w:t>
      </w:r>
      <w:r w:rsidR="0F90D236">
        <w:t xml:space="preserve"> </w:t>
      </w:r>
    </w:p>
    <w:p w14:paraId="1365F39A" w14:textId="5EDA71D2" w:rsidR="004F4B50" w:rsidRPr="00807DAF" w:rsidRDefault="0F90D236" w:rsidP="003A723F">
      <w:pPr>
        <w:spacing w:before="120" w:after="0"/>
      </w:pPr>
      <w:r>
        <w:t xml:space="preserve">In Part A, Section 3 </w:t>
      </w:r>
      <w:r w:rsidRPr="00D8041C">
        <w:t>and Part B Section 8</w:t>
      </w:r>
      <w:r>
        <w:t xml:space="preserve"> of the grant application form (‘declaration</w:t>
      </w:r>
      <w:r w:rsidR="00AE1E99">
        <w:t>(</w:t>
      </w:r>
      <w:r>
        <w:t>s</w:t>
      </w:r>
      <w:r w:rsidR="00AE1E99">
        <w:t>)</w:t>
      </w:r>
      <w:r>
        <w:t xml:space="preserve"> by the lead applicant’), the lead applicant must declare that the lead applicant himself</w:t>
      </w:r>
      <w:r w:rsidR="00503BC4">
        <w:t>, the co-applicant(s) and affiliated entity(</w:t>
      </w:r>
      <w:proofErr w:type="spellStart"/>
      <w:r w:rsidR="00503BC4">
        <w:t>ies</w:t>
      </w:r>
      <w:proofErr w:type="spellEnd"/>
      <w:r w:rsidR="00503BC4">
        <w:t>) are not in any of these situations.</w:t>
      </w:r>
    </w:p>
    <w:p w14:paraId="493F22A7" w14:textId="77777777" w:rsidR="004F4B50" w:rsidRPr="002D36A7" w:rsidRDefault="004F4B50" w:rsidP="003A723F">
      <w:pPr>
        <w:spacing w:before="120" w:after="0"/>
        <w:rPr>
          <w:snapToGrid/>
        </w:rPr>
      </w:pPr>
      <w:r w:rsidRPr="00807DAF">
        <w:t xml:space="preserve">The </w:t>
      </w:r>
      <w:r>
        <w:t xml:space="preserve">lead </w:t>
      </w:r>
      <w:r w:rsidRPr="002D704D">
        <w:t xml:space="preserve">applicant </w:t>
      </w:r>
      <w:r w:rsidRPr="002D704D">
        <w:rPr>
          <w:b/>
          <w:bCs/>
          <w:snapToGrid/>
        </w:rPr>
        <w:t>must act with co-applicant(s)</w:t>
      </w:r>
      <w:r w:rsidRPr="002D704D">
        <w:rPr>
          <w:snapToGrid/>
        </w:rPr>
        <w:t xml:space="preserve"> as specified hereafter.</w:t>
      </w:r>
    </w:p>
    <w:p w14:paraId="6D065A44" w14:textId="7D4D778D" w:rsidR="00074018" w:rsidRDefault="00D80885" w:rsidP="00877BCA">
      <w:pPr>
        <w:spacing w:before="120" w:after="120"/>
        <w:rPr>
          <w:snapToGrid/>
        </w:rPr>
      </w:pPr>
      <w:r w:rsidRPr="00807DAF">
        <w:rPr>
          <w:snapToGrid/>
        </w:rPr>
        <w:t xml:space="preserve">If awarded the </w:t>
      </w:r>
      <w:r w:rsidR="00176B31">
        <w:rPr>
          <w:snapToGrid/>
        </w:rPr>
        <w:t>g</w:t>
      </w:r>
      <w:r w:rsidRPr="00807DAF">
        <w:rPr>
          <w:snapToGrid/>
        </w:rPr>
        <w:t xml:space="preserve">rant contract, the </w:t>
      </w:r>
      <w:r w:rsidR="00BD53D5">
        <w:rPr>
          <w:snapToGrid/>
        </w:rPr>
        <w:t>lead a</w:t>
      </w:r>
      <w:r w:rsidRPr="00807DAF">
        <w:rPr>
          <w:snapToGrid/>
        </w:rPr>
        <w:t>pplicant will become the</w:t>
      </w:r>
      <w:r w:rsidR="00C25630" w:rsidRPr="0F90D236">
        <w:t xml:space="preserve"> </w:t>
      </w:r>
      <w:r w:rsidR="00176B31">
        <w:rPr>
          <w:snapToGrid/>
        </w:rPr>
        <w:t>b</w:t>
      </w:r>
      <w:r w:rsidRPr="00807DAF">
        <w:rPr>
          <w:snapToGrid/>
        </w:rPr>
        <w:t xml:space="preserve">eneficiary identified as the </w:t>
      </w:r>
      <w:r w:rsidR="00D11783">
        <w:rPr>
          <w:snapToGrid/>
        </w:rPr>
        <w:t>c</w:t>
      </w:r>
      <w:r w:rsidRPr="00807DAF">
        <w:rPr>
          <w:snapToGrid/>
        </w:rPr>
        <w:t xml:space="preserve">oordinator in </w:t>
      </w:r>
      <w:r w:rsidR="002A66CB">
        <w:rPr>
          <w:snapToGrid/>
        </w:rPr>
        <w:t>A</w:t>
      </w:r>
      <w:r w:rsidRPr="00807DAF">
        <w:rPr>
          <w:snapToGrid/>
        </w:rPr>
        <w:t xml:space="preserve">nnex </w:t>
      </w:r>
      <w:r w:rsidR="006D29D4">
        <w:rPr>
          <w:snapToGrid/>
        </w:rPr>
        <w:t>G</w:t>
      </w:r>
      <w:r w:rsidR="00E13050" w:rsidRPr="0F90D236">
        <w:t xml:space="preserve"> </w:t>
      </w:r>
      <w:r w:rsidRPr="0F90D236">
        <w:t>(</w:t>
      </w:r>
      <w:r w:rsidR="00D11783">
        <w:rPr>
          <w:snapToGrid/>
        </w:rPr>
        <w:t>s</w:t>
      </w:r>
      <w:r w:rsidRPr="00807DAF">
        <w:rPr>
          <w:snapToGrid/>
        </w:rPr>
        <w:t xml:space="preserve">pecial </w:t>
      </w:r>
      <w:r w:rsidR="00D11783">
        <w:rPr>
          <w:snapToGrid/>
        </w:rPr>
        <w:t>c</w:t>
      </w:r>
      <w:r w:rsidRPr="00807DAF">
        <w:rPr>
          <w:snapToGrid/>
        </w:rPr>
        <w:t xml:space="preserve">onditions). The </w:t>
      </w:r>
      <w:r w:rsidR="00D11783">
        <w:rPr>
          <w:snapToGrid/>
        </w:rPr>
        <w:t>c</w:t>
      </w:r>
      <w:r w:rsidRPr="00807DAF">
        <w:rPr>
          <w:snapToGrid/>
        </w:rPr>
        <w:t>oordinator is the</w:t>
      </w:r>
      <w:r w:rsidR="002750A0">
        <w:rPr>
          <w:snapToGrid/>
        </w:rPr>
        <w:t xml:space="preserve"> sole</w:t>
      </w:r>
      <w:r w:rsidRPr="00807DAF">
        <w:rPr>
          <w:snapToGrid/>
        </w:rPr>
        <w:t xml:space="preserve"> interlocutor of the </w:t>
      </w:r>
      <w:r w:rsidR="00D11783">
        <w:rPr>
          <w:snapToGrid/>
        </w:rPr>
        <w:t>c</w:t>
      </w:r>
      <w:r w:rsidRPr="00807DAF">
        <w:rPr>
          <w:snapToGrid/>
        </w:rPr>
        <w:t xml:space="preserve">ontracting </w:t>
      </w:r>
      <w:r w:rsidR="00D11783">
        <w:rPr>
          <w:snapToGrid/>
        </w:rPr>
        <w:t>a</w:t>
      </w:r>
      <w:r w:rsidRPr="00807DAF">
        <w:rPr>
          <w:snapToGrid/>
        </w:rPr>
        <w:t xml:space="preserve">uthority. It represents and acts on behalf of any other co-beneficiary and coordinate the design and implementation of the </w:t>
      </w:r>
      <w:r w:rsidR="00176B31">
        <w:rPr>
          <w:snapToGrid/>
        </w:rPr>
        <w:t>a</w:t>
      </w:r>
      <w:r w:rsidRPr="00807DAF">
        <w:rPr>
          <w:snapToGrid/>
        </w:rPr>
        <w:t>ction.</w:t>
      </w:r>
    </w:p>
    <w:tbl>
      <w:tblPr>
        <w:tblW w:w="974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41"/>
      </w:tblGrid>
      <w:tr w:rsidR="00A60720" w:rsidRPr="00D6320B" w14:paraId="7086C02B" w14:textId="77777777" w:rsidTr="00877BCA">
        <w:trPr>
          <w:trHeight w:val="1397"/>
        </w:trPr>
        <w:tc>
          <w:tcPr>
            <w:tcW w:w="9741" w:type="dxa"/>
          </w:tcPr>
          <w:p w14:paraId="4F582410" w14:textId="77777777" w:rsidR="00A60720" w:rsidRPr="00AC66C0" w:rsidRDefault="0F90D236" w:rsidP="0F90D236">
            <w:pPr>
              <w:pStyle w:val="BodyText"/>
              <w:spacing w:before="120" w:after="60"/>
              <w:ind w:firstLine="426"/>
              <w:jc w:val="center"/>
              <w:rPr>
                <w:b/>
                <w:bCs/>
              </w:rPr>
            </w:pPr>
            <w:bookmarkStart w:id="15" w:name="_Hlk144454181"/>
            <w:r w:rsidRPr="0F90D236">
              <w:rPr>
                <w:b/>
                <w:bCs/>
              </w:rPr>
              <w:t>IMPORTANT NOTE - 1</w:t>
            </w:r>
          </w:p>
          <w:p w14:paraId="036C65B7" w14:textId="63197323" w:rsidR="00A60720" w:rsidRPr="00F059AF" w:rsidRDefault="00FB224C" w:rsidP="0783902A">
            <w:pPr>
              <w:spacing w:after="0"/>
              <w:ind w:left="60"/>
              <w:rPr>
                <w:b/>
                <w:bCs/>
              </w:rPr>
            </w:pPr>
            <w:r w:rsidRPr="0F90D236">
              <w:rPr>
                <w:b/>
                <w:bCs/>
              </w:rPr>
              <w:t xml:space="preserve">The partnerships involving Chambers and/or Commodity Exchanges </w:t>
            </w:r>
            <w:r w:rsidR="009C779E" w:rsidRPr="009C779E">
              <w:rPr>
                <w:b/>
                <w:bCs/>
              </w:rPr>
              <w:t>(</w:t>
            </w:r>
            <w:r w:rsidR="009C779E" w:rsidRPr="004820EC">
              <w:rPr>
                <w:b/>
              </w:rPr>
              <w:t>as lead or co-applicant</w:t>
            </w:r>
            <w:r w:rsidR="009C779E" w:rsidRPr="009C779E">
              <w:rPr>
                <w:b/>
                <w:bCs/>
              </w:rPr>
              <w:t>)</w:t>
            </w:r>
            <w:r w:rsidR="009C779E">
              <w:rPr>
                <w:b/>
                <w:bCs/>
              </w:rPr>
              <w:t xml:space="preserve"> </w:t>
            </w:r>
            <w:r w:rsidRPr="0F90D236">
              <w:rPr>
                <w:b/>
                <w:bCs/>
              </w:rPr>
              <w:t xml:space="preserve">from the less developed regions of </w:t>
            </w:r>
            <w:proofErr w:type="spellStart"/>
            <w:r w:rsidRPr="0F90D236">
              <w:rPr>
                <w:b/>
                <w:bCs/>
              </w:rPr>
              <w:t>Türkiye</w:t>
            </w:r>
            <w:proofErr w:type="spellEnd"/>
            <w:r w:rsidRPr="0F90D236">
              <w:rPr>
                <w:rStyle w:val="FootnoteReference"/>
                <w:b/>
                <w:bCs/>
              </w:rPr>
              <w:footnoteReference w:id="8"/>
            </w:r>
            <w:r w:rsidRPr="0F90D236">
              <w:rPr>
                <w:b/>
                <w:bCs/>
              </w:rPr>
              <w:t xml:space="preserve"> </w:t>
            </w:r>
            <w:r w:rsidR="00B60036" w:rsidRPr="0F90D236">
              <w:rPr>
                <w:b/>
                <w:bCs/>
              </w:rPr>
              <w:t>or</w:t>
            </w:r>
            <w:r w:rsidRPr="0F90D236">
              <w:rPr>
                <w:b/>
                <w:bCs/>
              </w:rPr>
              <w:t xml:space="preserve"> the provinces significantly affected by the earthquake</w:t>
            </w:r>
            <w:r w:rsidRPr="0F90D236">
              <w:rPr>
                <w:rStyle w:val="FootnoteReference"/>
                <w:b/>
                <w:bCs/>
              </w:rPr>
              <w:footnoteReference w:id="9"/>
            </w:r>
            <w:r w:rsidRPr="0F90D236">
              <w:rPr>
                <w:b/>
                <w:bCs/>
              </w:rPr>
              <w:t xml:space="preserve"> </w:t>
            </w:r>
            <w:r w:rsidR="0067155D" w:rsidRPr="0F90D236">
              <w:rPr>
                <w:b/>
                <w:bCs/>
              </w:rPr>
              <w:t xml:space="preserve">in February 2023 </w:t>
            </w:r>
            <w:r w:rsidRPr="0F90D236">
              <w:rPr>
                <w:b/>
                <w:bCs/>
              </w:rPr>
              <w:t>in Türkiye are strongly recommended</w:t>
            </w:r>
            <w:r w:rsidRPr="0783902A">
              <w:t>.</w:t>
            </w:r>
            <w:bookmarkEnd w:id="15"/>
          </w:p>
        </w:tc>
      </w:tr>
    </w:tbl>
    <w:p w14:paraId="1AC255F0" w14:textId="77777777" w:rsidR="006A36F9" w:rsidRPr="000C4276" w:rsidRDefault="006A36F9" w:rsidP="0F90D236">
      <w:pPr>
        <w:spacing w:before="120" w:after="0"/>
        <w:rPr>
          <w:b/>
          <w:bCs/>
        </w:rPr>
      </w:pPr>
      <w:r w:rsidRPr="0F90D236">
        <w:rPr>
          <w:b/>
          <w:bCs/>
          <w:snapToGrid/>
        </w:rPr>
        <w:t>Co-applicant(s)</w:t>
      </w:r>
    </w:p>
    <w:p w14:paraId="1C09A310" w14:textId="77777777" w:rsidR="00D54450" w:rsidRPr="00C55820" w:rsidRDefault="00F42DD2" w:rsidP="003A723F">
      <w:pPr>
        <w:spacing w:before="120" w:after="0"/>
        <w:rPr>
          <w:snapToGrid/>
        </w:rPr>
      </w:pPr>
      <w:r w:rsidRPr="00593829">
        <w:rPr>
          <w:snapToGrid/>
        </w:rPr>
        <w:t xml:space="preserve">Co-applicants participate in designing and implementing the action, and the costs they incur are eligible in the same way as those incurred by the </w:t>
      </w:r>
      <w:r w:rsidR="00BD53D5">
        <w:rPr>
          <w:snapToGrid/>
        </w:rPr>
        <w:t>lead a</w:t>
      </w:r>
      <w:r w:rsidRPr="00593829">
        <w:rPr>
          <w:snapToGrid/>
        </w:rPr>
        <w:t xml:space="preserve">pplicant. </w:t>
      </w:r>
    </w:p>
    <w:p w14:paraId="38C14B1E" w14:textId="77777777" w:rsidR="00D54450" w:rsidRDefault="006A36F9" w:rsidP="003A723F">
      <w:pPr>
        <w:spacing w:before="120" w:after="0"/>
        <w:rPr>
          <w:snapToGrid/>
        </w:rPr>
      </w:pPr>
      <w:r w:rsidRPr="008C30AD">
        <w:rPr>
          <w:snapToGrid/>
        </w:rPr>
        <w:t xml:space="preserve">Co-applicants must satisfy the eligibility criteria as applicable </w:t>
      </w:r>
      <w:r w:rsidR="008A6F06" w:rsidRPr="00424E58">
        <w:rPr>
          <w:snapToGrid/>
        </w:rPr>
        <w:t>to</w:t>
      </w:r>
      <w:r w:rsidRPr="00424E58">
        <w:rPr>
          <w:snapToGrid/>
        </w:rPr>
        <w:t xml:space="preserve"> the </w:t>
      </w:r>
      <w:r w:rsidR="00BD53D5">
        <w:rPr>
          <w:snapToGrid/>
        </w:rPr>
        <w:t>lead a</w:t>
      </w:r>
      <w:r w:rsidRPr="00424E58">
        <w:rPr>
          <w:snapToGrid/>
        </w:rPr>
        <w:t>pplicant himself.</w:t>
      </w:r>
    </w:p>
    <w:p w14:paraId="047BCC02" w14:textId="2EAE5B3E" w:rsidR="003A723F" w:rsidRPr="00004EAB" w:rsidRDefault="0783902A" w:rsidP="009C7444">
      <w:pPr>
        <w:spacing w:before="120" w:after="0"/>
        <w:rPr>
          <w:szCs w:val="22"/>
        </w:rPr>
      </w:pPr>
      <w:r w:rsidRPr="00004EAB">
        <w:t xml:space="preserve">A lead applicant, which is a member organization of TOBB, </w:t>
      </w:r>
      <w:r w:rsidRPr="00004EAB">
        <w:rPr>
          <w:b/>
          <w:bCs/>
        </w:rPr>
        <w:t>must</w:t>
      </w:r>
      <w:r w:rsidRPr="00004EAB">
        <w:t xml:space="preserve"> have </w:t>
      </w:r>
      <w:r w:rsidRPr="00004EAB">
        <w:rPr>
          <w:b/>
          <w:bCs/>
        </w:rPr>
        <w:t>at least one</w:t>
      </w:r>
      <w:r w:rsidRPr="00004EAB">
        <w:t xml:space="preserve"> eligible co-applicant represented by the Eurochambres (please see footnotes 5 and 6).</w:t>
      </w:r>
    </w:p>
    <w:p w14:paraId="1FE86D43" w14:textId="77A6CD87" w:rsidR="008923B0" w:rsidRPr="00D8041C" w:rsidRDefault="0783902A" w:rsidP="003A723F">
      <w:pPr>
        <w:spacing w:before="120" w:after="0"/>
        <w:rPr>
          <w:snapToGrid/>
        </w:rPr>
      </w:pPr>
      <w:r w:rsidRPr="00004EAB">
        <w:t xml:space="preserve">A lead applicant represented by Eurochambres, </w:t>
      </w:r>
      <w:r w:rsidRPr="00004EAB">
        <w:rPr>
          <w:b/>
          <w:bCs/>
        </w:rPr>
        <w:t>must</w:t>
      </w:r>
      <w:r w:rsidRPr="00004EAB">
        <w:t xml:space="preserve"> have </w:t>
      </w:r>
      <w:r w:rsidRPr="00004EAB">
        <w:rPr>
          <w:b/>
          <w:bCs/>
        </w:rPr>
        <w:t>at least one</w:t>
      </w:r>
      <w:r w:rsidRPr="00004EAB">
        <w:t xml:space="preserve"> co-applicant, which is a member organization of TOBB (please see footnotes 5 and 6</w:t>
      </w:r>
      <w:r w:rsidRPr="00222A38">
        <w:t>).</w:t>
      </w:r>
      <w:r w:rsidRPr="00D8041C">
        <w:t xml:space="preserve"> </w:t>
      </w:r>
    </w:p>
    <w:p w14:paraId="32B477DD" w14:textId="0B3781EF" w:rsidR="008923B0" w:rsidRPr="00004EAB" w:rsidRDefault="008923B0" w:rsidP="003A723F">
      <w:pPr>
        <w:spacing w:before="120" w:after="0"/>
        <w:rPr>
          <w:szCs w:val="22"/>
        </w:rPr>
      </w:pPr>
      <w:r w:rsidRPr="00004EAB">
        <w:rPr>
          <w:snapToGrid/>
        </w:rPr>
        <w:t xml:space="preserve">A lead applicant from eligible countries </w:t>
      </w:r>
      <w:r w:rsidR="003A723F" w:rsidRPr="00004EAB">
        <w:t>(</w:t>
      </w:r>
      <w:r w:rsidRPr="00004EAB">
        <w:rPr>
          <w:snapToGrid/>
        </w:rPr>
        <w:t>except EU Member States and T</w:t>
      </w:r>
      <w:r w:rsidR="002F02DF" w:rsidRPr="00004EAB">
        <w:rPr>
          <w:snapToGrid/>
        </w:rPr>
        <w:t>ürkiye</w:t>
      </w:r>
      <w:r w:rsidR="003A723F" w:rsidRPr="00004EAB">
        <w:t>)</w:t>
      </w:r>
      <w:r w:rsidRPr="00004EAB">
        <w:t xml:space="preserve"> </w:t>
      </w:r>
      <w:r w:rsidRPr="00004EAB">
        <w:rPr>
          <w:b/>
          <w:bCs/>
          <w:snapToGrid/>
        </w:rPr>
        <w:t>must</w:t>
      </w:r>
      <w:r w:rsidRPr="00004EAB">
        <w:rPr>
          <w:snapToGrid/>
        </w:rPr>
        <w:t xml:space="preserve"> have </w:t>
      </w:r>
      <w:r w:rsidRPr="00004EAB">
        <w:rPr>
          <w:b/>
          <w:bCs/>
          <w:snapToGrid/>
        </w:rPr>
        <w:t>at least one</w:t>
      </w:r>
      <w:r w:rsidRPr="00004EAB">
        <w:rPr>
          <w:snapToGrid/>
        </w:rPr>
        <w:t xml:space="preserve"> co-applicant which is a member organization of TOBB </w:t>
      </w:r>
      <w:r w:rsidRPr="00004EAB">
        <w:rPr>
          <w:snapToGrid/>
          <w:u w:val="single"/>
        </w:rPr>
        <w:t>and</w:t>
      </w:r>
      <w:r w:rsidRPr="00004EAB">
        <w:t xml:space="preserve"> </w:t>
      </w:r>
      <w:r w:rsidRPr="00004EAB">
        <w:rPr>
          <w:b/>
          <w:bCs/>
          <w:snapToGrid/>
        </w:rPr>
        <w:t>at least one</w:t>
      </w:r>
      <w:r w:rsidRPr="00004EAB">
        <w:rPr>
          <w:snapToGrid/>
        </w:rPr>
        <w:t xml:space="preserve"> co-applicant which is a </w:t>
      </w:r>
      <w:r w:rsidRPr="00004EAB">
        <w:rPr>
          <w:lang w:val="en-US"/>
        </w:rPr>
        <w:t>local/</w:t>
      </w:r>
      <w:r w:rsidR="0008714A" w:rsidRPr="00004EAB" w:rsidDel="0008714A">
        <w:rPr>
          <w:lang w:val="en-US"/>
        </w:rPr>
        <w:t xml:space="preserve"> </w:t>
      </w:r>
      <w:r w:rsidRPr="00004EAB">
        <w:rPr>
          <w:lang w:val="en-US"/>
        </w:rPr>
        <w:t xml:space="preserve">regional/national chamber or union of chambers </w:t>
      </w:r>
      <w:r w:rsidRPr="00004EAB">
        <w:rPr>
          <w:snapToGrid/>
        </w:rPr>
        <w:t xml:space="preserve">established in EU Member States </w:t>
      </w:r>
      <w:r w:rsidRPr="00004EAB">
        <w:rPr>
          <w:lang w:val="en-US"/>
        </w:rPr>
        <w:t>represented by E</w:t>
      </w:r>
      <w:r w:rsidR="00400606" w:rsidRPr="00004EAB">
        <w:rPr>
          <w:lang w:val="en-US"/>
        </w:rPr>
        <w:t>urochambres</w:t>
      </w:r>
      <w:r w:rsidRPr="00004EAB">
        <w:t>.</w:t>
      </w:r>
    </w:p>
    <w:p w14:paraId="77E7B8C4" w14:textId="77777777" w:rsidR="0093110A" w:rsidRPr="00004EAB" w:rsidRDefault="0093110A" w:rsidP="0093110A">
      <w:pPr>
        <w:spacing w:before="120" w:after="0"/>
        <w:rPr>
          <w:szCs w:val="22"/>
        </w:rPr>
      </w:pPr>
      <w:r w:rsidRPr="00004EAB">
        <w:lastRenderedPageBreak/>
        <w:t>There is no maximum number of co-applicants but careful consideration should be given during the identification of co-applicant(s) to ensure that each co-applicant has a clearly defined role in the Project and has seen the submitted application as well as the budget for a smooth implementation of the Project if awarded grant.</w:t>
      </w:r>
    </w:p>
    <w:p w14:paraId="5B546794" w14:textId="77777777" w:rsidR="0093110A" w:rsidRDefault="0093110A" w:rsidP="0093110A">
      <w:pPr>
        <w:spacing w:before="120" w:after="0"/>
      </w:pPr>
      <w:r w:rsidRPr="00004EAB">
        <w:rPr>
          <w:b/>
        </w:rPr>
        <w:t>It is highly recommended to have tools signed between lead applicants and co-applicants (such as agreements, protocols) to sustain the partnership after the completion of the Project.</w:t>
      </w:r>
      <w:r w:rsidRPr="00D8041C">
        <w:t xml:space="preserve"> </w:t>
      </w:r>
    </w:p>
    <w:p w14:paraId="3E1EAE85" w14:textId="6C29FD6D" w:rsidR="00D80885" w:rsidRPr="00D8041C" w:rsidRDefault="00D80885" w:rsidP="0F90D236">
      <w:pPr>
        <w:spacing w:before="120" w:after="0"/>
        <w:rPr>
          <w:b/>
          <w:bCs/>
        </w:rPr>
      </w:pPr>
      <w:r w:rsidRPr="00D8041C">
        <w:rPr>
          <w:snapToGrid/>
        </w:rPr>
        <w:t xml:space="preserve">Co-applicants must sign the </w:t>
      </w:r>
      <w:r w:rsidR="00176B31" w:rsidRPr="00D8041C">
        <w:rPr>
          <w:snapToGrid/>
        </w:rPr>
        <w:t>m</w:t>
      </w:r>
      <w:r w:rsidRPr="00D8041C">
        <w:rPr>
          <w:snapToGrid/>
        </w:rPr>
        <w:t xml:space="preserve">andate in Part B </w:t>
      </w:r>
      <w:r w:rsidR="00B01659" w:rsidRPr="00D8041C">
        <w:rPr>
          <w:snapToGrid/>
        </w:rPr>
        <w:t>S</w:t>
      </w:r>
      <w:r w:rsidRPr="00D8041C">
        <w:rPr>
          <w:snapToGrid/>
        </w:rPr>
        <w:t>ection 4 of the grant application</w:t>
      </w:r>
      <w:r w:rsidR="0093110A">
        <w:rPr>
          <w:snapToGrid/>
        </w:rPr>
        <w:t xml:space="preserve"> form.</w:t>
      </w:r>
    </w:p>
    <w:p w14:paraId="3A19FF0E" w14:textId="6BF62C31" w:rsidR="006D29D4" w:rsidRPr="00D8041C" w:rsidRDefault="004A16A8" w:rsidP="003A723F">
      <w:pPr>
        <w:spacing w:before="120" w:after="0"/>
        <w:rPr>
          <w:snapToGrid/>
        </w:rPr>
      </w:pPr>
      <w:r w:rsidRPr="00D8041C">
        <w:rPr>
          <w:snapToGrid/>
        </w:rPr>
        <w:t>If awarded the grant contract, the co-applicant(s) will become beneficiary(</w:t>
      </w:r>
      <w:proofErr w:type="spellStart"/>
      <w:r w:rsidRPr="00D8041C">
        <w:rPr>
          <w:snapToGrid/>
        </w:rPr>
        <w:t>ies</w:t>
      </w:r>
      <w:proofErr w:type="spellEnd"/>
      <w:r w:rsidRPr="00D8041C">
        <w:rPr>
          <w:snapToGrid/>
        </w:rPr>
        <w:t>) in the action (together with the coordinator)</w:t>
      </w:r>
      <w:r w:rsidR="006D29D4" w:rsidRPr="00D8041C">
        <w:t>.</w:t>
      </w:r>
    </w:p>
    <w:p w14:paraId="125A94A7" w14:textId="0B9575B5" w:rsidR="00992EBA" w:rsidRDefault="003201A8" w:rsidP="0F90D236">
      <w:pPr>
        <w:numPr>
          <w:ilvl w:val="0"/>
          <w:numId w:val="33"/>
        </w:numPr>
        <w:spacing w:before="120" w:after="0"/>
      </w:pPr>
      <w:r w:rsidRPr="0F90D236">
        <w:rPr>
          <w:snapToGrid/>
        </w:rPr>
        <w:t>In addition, please note</w:t>
      </w:r>
      <w:r>
        <w:rPr>
          <w:snapToGrid/>
        </w:rPr>
        <w:t xml:space="preserve"> that c</w:t>
      </w:r>
      <w:r w:rsidRPr="003201A8">
        <w:rPr>
          <w:snapToGrid/>
        </w:rPr>
        <w:t>ontracts cannot be awarded to or signed with applicants included in the lists of EU restrictive measures (see Section 2.4. of the PRAG)</w:t>
      </w:r>
      <w:r w:rsidRPr="0F90D236">
        <w:t>.</w:t>
      </w:r>
      <w:r w:rsidRPr="0F90D236" w:rsidDel="003201A8">
        <w:t xml:space="preserve"> </w:t>
      </w:r>
    </w:p>
    <w:p w14:paraId="49CA34D0" w14:textId="52FE4062" w:rsidR="00914462" w:rsidRPr="000C4276" w:rsidRDefault="0F90D236" w:rsidP="00A47D20">
      <w:pPr>
        <w:pStyle w:val="Guidelines3"/>
        <w:numPr>
          <w:ilvl w:val="2"/>
          <w:numId w:val="68"/>
        </w:numPr>
        <w:outlineLvl w:val="2"/>
      </w:pPr>
      <w:bookmarkStart w:id="16" w:name="_Toc75362973"/>
      <w:bookmarkStart w:id="17" w:name="_Toc75363196"/>
      <w:bookmarkStart w:id="18" w:name="_Toc145057266"/>
      <w:bookmarkEnd w:id="16"/>
      <w:bookmarkEnd w:id="17"/>
      <w:r>
        <w:t>Affiliated entities</w:t>
      </w:r>
      <w:bookmarkEnd w:id="18"/>
    </w:p>
    <w:p w14:paraId="1D70A8CF" w14:textId="77777777" w:rsidR="00977210" w:rsidRPr="00390F89" w:rsidRDefault="00977210" w:rsidP="00C57AF5">
      <w:pPr>
        <w:spacing w:before="120" w:after="0"/>
        <w:rPr>
          <w:szCs w:val="22"/>
        </w:rPr>
      </w:pPr>
      <w:r w:rsidRPr="00390F89">
        <w:rPr>
          <w:snapToGrid/>
          <w:szCs w:val="22"/>
        </w:rPr>
        <w:t>The lead applicant and its co-applicant(s) may act with affiliated entity(</w:t>
      </w:r>
      <w:proofErr w:type="spellStart"/>
      <w:r w:rsidRPr="00390F89">
        <w:rPr>
          <w:snapToGrid/>
          <w:szCs w:val="22"/>
        </w:rPr>
        <w:t>ies</w:t>
      </w:r>
      <w:proofErr w:type="spellEnd"/>
      <w:r w:rsidRPr="00390F89">
        <w:rPr>
          <w:snapToGrid/>
          <w:szCs w:val="22"/>
        </w:rPr>
        <w:t>).</w:t>
      </w:r>
      <w:r w:rsidRPr="00390F89" w:rsidDel="002750A0">
        <w:rPr>
          <w:snapToGrid/>
          <w:szCs w:val="22"/>
        </w:rPr>
        <w:t xml:space="preserve"> </w:t>
      </w:r>
      <w:r w:rsidRPr="00390F89">
        <w:rPr>
          <w:b/>
          <w:szCs w:val="22"/>
        </w:rPr>
        <w:t>Only the following entities may be considered as affiliated entities to the lead applicant and/or to co-applicant(s):</w:t>
      </w:r>
    </w:p>
    <w:p w14:paraId="0608C40D" w14:textId="77777777" w:rsidR="00977210" w:rsidRPr="00390F89" w:rsidRDefault="00977210" w:rsidP="00C57AF5">
      <w:pPr>
        <w:keepNext/>
        <w:spacing w:before="120" w:after="0" w:line="276" w:lineRule="auto"/>
        <w:rPr>
          <w:szCs w:val="22"/>
        </w:rPr>
      </w:pPr>
      <w:r w:rsidRPr="00390F89">
        <w:rPr>
          <w:szCs w:val="22"/>
        </w:rPr>
        <w:t>Only entities having a structural link with the applicants (i.e. the lead applicant or a co-applicant), in particular a legal or capital link.</w:t>
      </w:r>
    </w:p>
    <w:p w14:paraId="1955D8B4" w14:textId="77777777" w:rsidR="00977210" w:rsidRPr="00390F89" w:rsidRDefault="00977210" w:rsidP="00C57AF5">
      <w:pPr>
        <w:spacing w:before="120" w:after="0" w:line="276" w:lineRule="auto"/>
        <w:rPr>
          <w:szCs w:val="22"/>
        </w:rPr>
      </w:pPr>
      <w:r w:rsidRPr="00390F89">
        <w:rPr>
          <w:szCs w:val="22"/>
        </w:rPr>
        <w:t>This structural link encompasses mainly two notions:</w:t>
      </w:r>
    </w:p>
    <w:p w14:paraId="0D672ACA" w14:textId="77777777" w:rsidR="00977210" w:rsidRPr="00390F89" w:rsidRDefault="00977210" w:rsidP="00C57AF5">
      <w:pPr>
        <w:spacing w:before="120" w:after="0" w:line="276" w:lineRule="auto"/>
        <w:ind w:left="720" w:hanging="567"/>
        <w:rPr>
          <w:szCs w:val="22"/>
        </w:rPr>
      </w:pPr>
      <w:r w:rsidRPr="00390F89">
        <w:rPr>
          <w:szCs w:val="22"/>
        </w:rPr>
        <w:t>(</w:t>
      </w:r>
      <w:proofErr w:type="spellStart"/>
      <w:r w:rsidRPr="00390F89">
        <w:rPr>
          <w:szCs w:val="22"/>
        </w:rPr>
        <w:t>i</w:t>
      </w:r>
      <w:proofErr w:type="spellEnd"/>
      <w:r w:rsidRPr="00390F89">
        <w:rPr>
          <w:szCs w:val="22"/>
        </w:rPr>
        <w:t xml:space="preserve">) </w:t>
      </w:r>
      <w:r w:rsidRPr="00390F89">
        <w:rPr>
          <w:szCs w:val="22"/>
        </w:rPr>
        <w:tab/>
        <w:t>Control, as defined in Directive 2013/34/EU on the annual financial statements, consolidated financial statements and related reports of certain types of undertakings:</w:t>
      </w:r>
    </w:p>
    <w:p w14:paraId="49E1401A" w14:textId="77777777" w:rsidR="00977210" w:rsidRPr="00390F89" w:rsidRDefault="00977210" w:rsidP="00C57AF5">
      <w:pPr>
        <w:spacing w:before="120" w:after="0" w:line="276" w:lineRule="auto"/>
        <w:ind w:left="709"/>
        <w:rPr>
          <w:szCs w:val="22"/>
        </w:rPr>
      </w:pPr>
      <w:r w:rsidRPr="00390F89">
        <w:rPr>
          <w:szCs w:val="22"/>
        </w:rPr>
        <w:t>Entities affiliated to an applicant may hence be:</w:t>
      </w:r>
    </w:p>
    <w:p w14:paraId="6165128A" w14:textId="77777777" w:rsidR="00977210" w:rsidRPr="00390F89" w:rsidRDefault="00977210" w:rsidP="00C57AF5">
      <w:pPr>
        <w:numPr>
          <w:ilvl w:val="0"/>
          <w:numId w:val="69"/>
        </w:numPr>
        <w:spacing w:before="120" w:after="0" w:line="276" w:lineRule="auto"/>
        <w:ind w:left="1276" w:hanging="283"/>
        <w:rPr>
          <w:szCs w:val="22"/>
        </w:rPr>
      </w:pPr>
      <w:r w:rsidRPr="00390F89">
        <w:rPr>
          <w:szCs w:val="22"/>
        </w:rPr>
        <w:t>Entities directly or indirectly controlled by the applicant (daughter companies or first-tier subsidiaries). They may also be entities controlled by an entity controlled by the applicant (granddaughter companies or second-tier subsidiaries) and the same applies to further tiers of control;</w:t>
      </w:r>
    </w:p>
    <w:p w14:paraId="7D8523F4" w14:textId="77777777" w:rsidR="00977210" w:rsidRPr="00390F89" w:rsidRDefault="00977210" w:rsidP="00C57AF5">
      <w:pPr>
        <w:numPr>
          <w:ilvl w:val="0"/>
          <w:numId w:val="69"/>
        </w:numPr>
        <w:spacing w:before="120" w:after="0" w:line="276" w:lineRule="auto"/>
        <w:ind w:left="1276" w:hanging="283"/>
        <w:rPr>
          <w:szCs w:val="22"/>
        </w:rPr>
      </w:pPr>
      <w:r w:rsidRPr="00390F89">
        <w:rPr>
          <w:szCs w:val="22"/>
        </w:rPr>
        <w:t>Entities directly or indirectly controlling the applicant (parent companies). Likewise, they may be entities controlling an entity controlling the applicant;</w:t>
      </w:r>
    </w:p>
    <w:p w14:paraId="77C13016" w14:textId="77777777" w:rsidR="00977210" w:rsidRPr="00390F89" w:rsidRDefault="00977210" w:rsidP="00C57AF5">
      <w:pPr>
        <w:numPr>
          <w:ilvl w:val="0"/>
          <w:numId w:val="69"/>
        </w:numPr>
        <w:spacing w:before="120" w:after="0" w:line="276" w:lineRule="auto"/>
        <w:ind w:left="1276" w:hanging="283"/>
        <w:rPr>
          <w:szCs w:val="22"/>
        </w:rPr>
      </w:pPr>
      <w:r w:rsidRPr="00390F89">
        <w:rPr>
          <w:szCs w:val="22"/>
        </w:rPr>
        <w:t>Entities under the same direct or indirect control as the applicant (sister companies).</w:t>
      </w:r>
    </w:p>
    <w:p w14:paraId="495EC449" w14:textId="77777777" w:rsidR="00977210" w:rsidRPr="00390F89" w:rsidRDefault="00977210" w:rsidP="00C57AF5">
      <w:pPr>
        <w:spacing w:before="120" w:after="0" w:line="276" w:lineRule="auto"/>
        <w:ind w:left="720" w:hanging="578"/>
        <w:rPr>
          <w:szCs w:val="22"/>
        </w:rPr>
      </w:pPr>
      <w:r w:rsidRPr="00390F89">
        <w:rPr>
          <w:szCs w:val="22"/>
        </w:rPr>
        <w:t xml:space="preserve">(ii) </w:t>
      </w:r>
      <w:r w:rsidRPr="00390F89">
        <w:rPr>
          <w:szCs w:val="22"/>
        </w:rPr>
        <w:tab/>
        <w:t xml:space="preserve">Membership, i.e. the applicant is legally defined as a e.g. network, federation, association in which the proposed affiliated entities also participate or the applicant participates in the same entity (e.g. network, federation, </w:t>
      </w:r>
      <w:proofErr w:type="gramStart"/>
      <w:r w:rsidRPr="00390F89">
        <w:rPr>
          <w:szCs w:val="22"/>
        </w:rPr>
        <w:t>association,…</w:t>
      </w:r>
      <w:proofErr w:type="gramEnd"/>
      <w:r w:rsidRPr="00390F89">
        <w:rPr>
          <w:szCs w:val="22"/>
        </w:rPr>
        <w:t>) as the proposed affiliated entities.</w:t>
      </w:r>
    </w:p>
    <w:p w14:paraId="4B2CC632" w14:textId="77777777" w:rsidR="00977210" w:rsidRPr="00390F89" w:rsidRDefault="00977210" w:rsidP="00C57AF5">
      <w:pPr>
        <w:spacing w:before="120" w:after="0" w:line="276" w:lineRule="auto"/>
        <w:rPr>
          <w:szCs w:val="22"/>
        </w:rPr>
      </w:pPr>
      <w:r w:rsidRPr="00390F89">
        <w:rPr>
          <w:szCs w:val="22"/>
        </w:rPr>
        <w:t>The structural link shall, as a general rule, be neither limited to the action nor established for the sole purpose of its implementation. This means that the link would exist independently of the award of the grant; it should exist before the call for proposals and remain valid after the end of the action.</w:t>
      </w:r>
    </w:p>
    <w:p w14:paraId="42CB3D93" w14:textId="21EC21F4" w:rsidR="00977210" w:rsidRPr="00390F89" w:rsidRDefault="00977210" w:rsidP="00C57AF5">
      <w:pPr>
        <w:spacing w:before="120" w:after="0" w:line="276" w:lineRule="auto"/>
        <w:rPr>
          <w:szCs w:val="22"/>
        </w:rPr>
      </w:pPr>
      <w:r w:rsidRPr="00390F89">
        <w:rPr>
          <w:szCs w:val="22"/>
        </w:rPr>
        <w:t xml:space="preserve">By way of exception, an entity may be considered as affiliated to an applicant even if it has a structural link specifically established for the sole purpose of the implementation of the action in the case of so-called ‘sole applicants’ or ‘sole </w:t>
      </w:r>
      <w:proofErr w:type="gramStart"/>
      <w:r w:rsidRPr="00390F89">
        <w:rPr>
          <w:szCs w:val="22"/>
        </w:rPr>
        <w:t>beneficiaries’</w:t>
      </w:r>
      <w:proofErr w:type="gramEnd"/>
      <w:r w:rsidRPr="00390F89">
        <w:rPr>
          <w:szCs w:val="22"/>
        </w:rPr>
        <w:t>. A sole applicant or a sole beneficiary is a legal entity formed by several entities (a group of entities) which together comply with the criteria for being awarded the grant. For example, an association is formed by its members.</w:t>
      </w:r>
    </w:p>
    <w:p w14:paraId="0A05F890" w14:textId="77777777" w:rsidR="00977210" w:rsidRPr="00390F89" w:rsidRDefault="00977210" w:rsidP="00C57AF5">
      <w:pPr>
        <w:pStyle w:val="Heading5"/>
        <w:spacing w:before="120" w:after="0" w:line="276" w:lineRule="auto"/>
        <w:rPr>
          <w:rFonts w:ascii="Times New Roman" w:hAnsi="Times New Roman"/>
          <w:szCs w:val="22"/>
          <w:u w:val="single"/>
        </w:rPr>
      </w:pPr>
      <w:r w:rsidRPr="00390F89">
        <w:rPr>
          <w:rFonts w:ascii="Times New Roman" w:hAnsi="Times New Roman"/>
          <w:szCs w:val="22"/>
          <w:u w:val="single"/>
        </w:rPr>
        <w:t xml:space="preserve">What is not an affiliated entity? </w:t>
      </w:r>
    </w:p>
    <w:p w14:paraId="5B7ABF5B" w14:textId="77777777" w:rsidR="00977210" w:rsidRPr="00390F89" w:rsidRDefault="00977210" w:rsidP="00C57AF5">
      <w:pPr>
        <w:spacing w:before="120" w:after="0"/>
        <w:rPr>
          <w:szCs w:val="22"/>
        </w:rPr>
      </w:pPr>
      <w:r w:rsidRPr="00390F89">
        <w:rPr>
          <w:szCs w:val="22"/>
        </w:rPr>
        <w:t>The following are not considered entities affiliated to an applicant:</w:t>
      </w:r>
    </w:p>
    <w:p w14:paraId="57DB123B" w14:textId="77777777" w:rsidR="00977210" w:rsidRPr="00390F89" w:rsidRDefault="00977210" w:rsidP="00C57AF5">
      <w:pPr>
        <w:numPr>
          <w:ilvl w:val="0"/>
          <w:numId w:val="70"/>
        </w:numPr>
        <w:spacing w:before="120" w:after="0" w:line="276" w:lineRule="auto"/>
        <w:rPr>
          <w:szCs w:val="22"/>
        </w:rPr>
      </w:pPr>
      <w:r w:rsidRPr="00390F89">
        <w:rPr>
          <w:szCs w:val="22"/>
        </w:rPr>
        <w:t xml:space="preserve">Entities that have entered into a (procurement) contract or subcontract with an applicant, act as concessionaires or </w:t>
      </w:r>
      <w:proofErr w:type="spellStart"/>
      <w:r w:rsidRPr="00390F89">
        <w:rPr>
          <w:szCs w:val="22"/>
        </w:rPr>
        <w:t>delegatees</w:t>
      </w:r>
      <w:proofErr w:type="spellEnd"/>
      <w:r w:rsidRPr="00390F89">
        <w:rPr>
          <w:szCs w:val="22"/>
        </w:rPr>
        <w:t xml:space="preserve"> for public services for an applicant,</w:t>
      </w:r>
    </w:p>
    <w:p w14:paraId="0A574A7D" w14:textId="77777777" w:rsidR="00977210" w:rsidRPr="00390F89" w:rsidRDefault="00977210" w:rsidP="00C57AF5">
      <w:pPr>
        <w:numPr>
          <w:ilvl w:val="0"/>
          <w:numId w:val="70"/>
        </w:numPr>
        <w:spacing w:before="120" w:after="0" w:line="276" w:lineRule="auto"/>
        <w:rPr>
          <w:szCs w:val="22"/>
        </w:rPr>
      </w:pPr>
      <w:r w:rsidRPr="00390F89">
        <w:rPr>
          <w:szCs w:val="22"/>
        </w:rPr>
        <w:t>Entities that receive financial support from the applicant,</w:t>
      </w:r>
    </w:p>
    <w:p w14:paraId="51D143D9" w14:textId="77777777" w:rsidR="00977210" w:rsidRPr="00390F89" w:rsidRDefault="00977210" w:rsidP="00C57AF5">
      <w:pPr>
        <w:numPr>
          <w:ilvl w:val="0"/>
          <w:numId w:val="70"/>
        </w:numPr>
        <w:spacing w:before="120" w:after="0" w:line="276" w:lineRule="auto"/>
        <w:rPr>
          <w:szCs w:val="22"/>
        </w:rPr>
      </w:pPr>
      <w:r w:rsidRPr="00390F89">
        <w:rPr>
          <w:szCs w:val="22"/>
        </w:rPr>
        <w:lastRenderedPageBreak/>
        <w:t>Entities that cooperate on a regular basis with an applicant on the basis of a memorandum of understanding or share some assets,</w:t>
      </w:r>
    </w:p>
    <w:p w14:paraId="6424BCA3" w14:textId="77777777" w:rsidR="00977210" w:rsidRPr="00390F89" w:rsidRDefault="00977210" w:rsidP="00C57AF5">
      <w:pPr>
        <w:numPr>
          <w:ilvl w:val="0"/>
          <w:numId w:val="70"/>
        </w:numPr>
        <w:spacing w:before="120" w:after="0" w:line="276" w:lineRule="auto"/>
        <w:rPr>
          <w:szCs w:val="22"/>
        </w:rPr>
      </w:pPr>
      <w:r w:rsidRPr="00390F89">
        <w:rPr>
          <w:szCs w:val="22"/>
        </w:rPr>
        <w:t>Entities that have signed a consortium agreement under the grant contract (unless this consortium agreement leads to the creation of a ‘sole applicant’ as described above).</w:t>
      </w:r>
    </w:p>
    <w:p w14:paraId="07AFA4C2" w14:textId="77777777" w:rsidR="00977210" w:rsidRPr="00390F89" w:rsidRDefault="00977210" w:rsidP="00C57AF5">
      <w:pPr>
        <w:spacing w:before="120" w:after="0" w:line="276" w:lineRule="auto"/>
        <w:rPr>
          <w:szCs w:val="22"/>
          <w:u w:val="single"/>
        </w:rPr>
      </w:pPr>
      <w:r w:rsidRPr="00390F89">
        <w:rPr>
          <w:szCs w:val="22"/>
          <w:u w:val="single"/>
        </w:rPr>
        <w:t>How to verify the existence of the required link with an applicant?</w:t>
      </w:r>
    </w:p>
    <w:p w14:paraId="3B58D12E" w14:textId="77777777" w:rsidR="00977210" w:rsidRPr="00390F89" w:rsidRDefault="00977210" w:rsidP="00C57AF5">
      <w:pPr>
        <w:spacing w:before="120" w:after="0" w:line="276" w:lineRule="auto"/>
        <w:ind w:left="8"/>
        <w:rPr>
          <w:szCs w:val="22"/>
        </w:rPr>
      </w:pPr>
      <w:r w:rsidRPr="00390F89">
        <w:rPr>
          <w:szCs w:val="22"/>
        </w:rPr>
        <w:t>The affiliation resulting from control may in particular be proved on the basis of the consolidated accounts of the group of entities the applicant and its proposed affiliates belong to.</w:t>
      </w:r>
    </w:p>
    <w:p w14:paraId="7688B48D" w14:textId="77777777" w:rsidR="00977210" w:rsidRPr="00390F89" w:rsidRDefault="00977210" w:rsidP="00C57AF5">
      <w:pPr>
        <w:spacing w:before="120" w:after="0" w:line="276" w:lineRule="auto"/>
        <w:rPr>
          <w:szCs w:val="22"/>
        </w:rPr>
      </w:pPr>
      <w:r w:rsidRPr="00390F89">
        <w:rPr>
          <w:szCs w:val="22"/>
        </w:rPr>
        <w:t>The affiliation resulting from membership may in particular be proved on the basis of the statutes or equivalent act establishing the entity (network, federation, association) which the applicant constitutes or in which the applicant participates.</w:t>
      </w:r>
    </w:p>
    <w:p w14:paraId="75837CE1" w14:textId="441682D8" w:rsidR="00977210" w:rsidRPr="00390F89" w:rsidRDefault="00977210" w:rsidP="00C57AF5">
      <w:pPr>
        <w:spacing w:before="120" w:after="0"/>
        <w:rPr>
          <w:szCs w:val="22"/>
        </w:rPr>
      </w:pPr>
      <w:r w:rsidRPr="00390F89">
        <w:rPr>
          <w:szCs w:val="22"/>
        </w:rPr>
        <w:t>If the applicants are awarded a grant contract, their affiliated entity(</w:t>
      </w:r>
      <w:proofErr w:type="spellStart"/>
      <w:r w:rsidRPr="00390F89">
        <w:rPr>
          <w:szCs w:val="22"/>
        </w:rPr>
        <w:t>ies</w:t>
      </w:r>
      <w:proofErr w:type="spellEnd"/>
      <w:r w:rsidRPr="00390F89">
        <w:rPr>
          <w:szCs w:val="22"/>
        </w:rPr>
        <w:t>) will not become beneficiaries of the action and signatory(</w:t>
      </w:r>
      <w:proofErr w:type="spellStart"/>
      <w:r w:rsidRPr="00390F89">
        <w:rPr>
          <w:szCs w:val="22"/>
        </w:rPr>
        <w:t>ies</w:t>
      </w:r>
      <w:proofErr w:type="spellEnd"/>
      <w:r w:rsidRPr="00390F89">
        <w:rPr>
          <w:szCs w:val="22"/>
        </w:rPr>
        <w:t>) of the grant contract. However, they will participate in the design and in the implementation of the action and the costs they incur (including those incurred for implementation contracts and financial support to third parties and subcontractors) may be accepted as eligible costs, provided they comply with all the relevant rules already applicable to the beneficiaries under the grant contract.</w:t>
      </w:r>
    </w:p>
    <w:p w14:paraId="505AC716" w14:textId="66C2B4AA" w:rsidR="00977210" w:rsidRPr="00390F89" w:rsidRDefault="00977210" w:rsidP="00C57AF5">
      <w:pPr>
        <w:spacing w:before="120" w:after="0"/>
        <w:rPr>
          <w:szCs w:val="22"/>
        </w:rPr>
      </w:pPr>
      <w:r w:rsidRPr="004820EC">
        <w:rPr>
          <w:b/>
          <w:szCs w:val="22"/>
        </w:rPr>
        <w:t>Affiliated entity(</w:t>
      </w:r>
      <w:proofErr w:type="spellStart"/>
      <w:r w:rsidRPr="004820EC">
        <w:rPr>
          <w:b/>
          <w:szCs w:val="22"/>
        </w:rPr>
        <w:t>ies</w:t>
      </w:r>
      <w:proofErr w:type="spellEnd"/>
      <w:r w:rsidRPr="004820EC">
        <w:rPr>
          <w:b/>
          <w:szCs w:val="22"/>
        </w:rPr>
        <w:t>) must satisfy the same eligibility criteria as the lead applicant and the co-applicant(s).</w:t>
      </w:r>
      <w:r w:rsidRPr="00390F89">
        <w:rPr>
          <w:szCs w:val="22"/>
        </w:rPr>
        <w:t xml:space="preserve"> They must sign the affiliated entity(</w:t>
      </w:r>
      <w:proofErr w:type="spellStart"/>
      <w:r w:rsidRPr="00390F89">
        <w:rPr>
          <w:szCs w:val="22"/>
        </w:rPr>
        <w:t>ies</w:t>
      </w:r>
      <w:proofErr w:type="spellEnd"/>
      <w:r w:rsidRPr="00390F89">
        <w:rPr>
          <w:szCs w:val="22"/>
        </w:rPr>
        <w:t>) statement in Part B Section 5 of the grant application form.</w:t>
      </w:r>
    </w:p>
    <w:p w14:paraId="41DF8EAA" w14:textId="372C84FB" w:rsidR="00F06309" w:rsidRPr="00807DAF" w:rsidRDefault="0F90D236" w:rsidP="00A47D20">
      <w:pPr>
        <w:pStyle w:val="Guidelines3"/>
        <w:numPr>
          <w:ilvl w:val="2"/>
          <w:numId w:val="68"/>
        </w:numPr>
        <w:outlineLvl w:val="2"/>
      </w:pPr>
      <w:bookmarkStart w:id="19" w:name="_Toc144385093"/>
      <w:bookmarkStart w:id="20" w:name="_Toc380145061"/>
      <w:bookmarkStart w:id="21" w:name="_Toc145057267"/>
      <w:bookmarkEnd w:id="19"/>
      <w:bookmarkEnd w:id="20"/>
      <w:r>
        <w:t>Associates and contractors</w:t>
      </w:r>
      <w:bookmarkEnd w:id="21"/>
    </w:p>
    <w:p w14:paraId="3C04C289" w14:textId="35D84800" w:rsidR="000B66B4" w:rsidRPr="00807DAF" w:rsidRDefault="0F90D236" w:rsidP="003A723F">
      <w:pPr>
        <w:spacing w:before="120" w:after="0"/>
      </w:pPr>
      <w:bookmarkStart w:id="22" w:name="_Toc380145063"/>
      <w:bookmarkStart w:id="23" w:name="_Toc380145064"/>
      <w:bookmarkEnd w:id="22"/>
      <w:bookmarkEnd w:id="23"/>
      <w:r>
        <w:t xml:space="preserve">The following entities are not applicants </w:t>
      </w:r>
      <w:r w:rsidR="00A27D83" w:rsidRPr="00807DAF">
        <w:t xml:space="preserve">nor affiliated entities </w:t>
      </w:r>
      <w:r>
        <w:t>and do not have to sign the ‘mandate for co-applicant(s)’</w:t>
      </w:r>
      <w:r w:rsidR="00A27D83" w:rsidRPr="00A27D83">
        <w:t xml:space="preserve"> </w:t>
      </w:r>
      <w:r w:rsidR="00A27D83" w:rsidRPr="00807DAF">
        <w:t xml:space="preserve">or </w:t>
      </w:r>
      <w:r w:rsidR="00A27D83">
        <w:t>‘</w:t>
      </w:r>
      <w:r w:rsidR="00A27D83" w:rsidRPr="00807DAF">
        <w:t>affiliated entities' statement</w:t>
      </w:r>
      <w:r>
        <w:t>:</w:t>
      </w:r>
    </w:p>
    <w:p w14:paraId="1DA7E50D" w14:textId="77777777" w:rsidR="000B66B4" w:rsidRPr="00807DAF" w:rsidRDefault="0F90D236" w:rsidP="003A723F">
      <w:pPr>
        <w:numPr>
          <w:ilvl w:val="0"/>
          <w:numId w:val="15"/>
        </w:numPr>
        <w:spacing w:before="120" w:after="0"/>
      </w:pPr>
      <w:r>
        <w:t>Associates</w:t>
      </w:r>
    </w:p>
    <w:p w14:paraId="4D0AF10C" w14:textId="77777777" w:rsidR="000B66B4" w:rsidRDefault="0F90D236" w:rsidP="003A723F">
      <w:pPr>
        <w:spacing w:before="120" w:after="0"/>
      </w:pPr>
      <w:r>
        <w:t xml:space="preserve">Other organisations or individuals may be involved in the action. Such associates play a real role in the action but may not receive funding from the grant, with the exception of per diem or travel costs. Associates do not have to meet the eligibility criteria referred to in Section 2.1.1. Associates must be mentioned in Part B Section 6 — ‘Associates participating in the action’ — of the grant application form. </w:t>
      </w:r>
    </w:p>
    <w:p w14:paraId="37CE4495" w14:textId="796BDC84" w:rsidR="000B66B4" w:rsidRPr="00492BB9" w:rsidRDefault="0783902A" w:rsidP="0783902A">
      <w:pPr>
        <w:spacing w:before="120" w:after="0"/>
        <w:rPr>
          <w:b/>
          <w:bCs/>
        </w:rPr>
      </w:pPr>
      <w:r w:rsidRPr="00004EAB">
        <w:rPr>
          <w:b/>
          <w:bCs/>
        </w:rPr>
        <w:t>It is highly recommended that business community representative entities (such as SMEs, think tanks, universities, organisations representing entrepreneurs or business leaders), engaged in support to Türkiye-EU business dialogue and/or engaged in focusing on Türkiye-EU economic and trade relations including the Türkiye-EU Customs Union and its possible modernisation, are included in the Action as “</w:t>
      </w:r>
      <w:r w:rsidRPr="00004EAB">
        <w:rPr>
          <w:b/>
          <w:bCs/>
          <w:i/>
          <w:iCs/>
        </w:rPr>
        <w:t>associates</w:t>
      </w:r>
      <w:r w:rsidRPr="00004EAB">
        <w:rPr>
          <w:b/>
          <w:bCs/>
        </w:rPr>
        <w:t>”.</w:t>
      </w:r>
    </w:p>
    <w:p w14:paraId="7F29DF31" w14:textId="77777777" w:rsidR="000B66B4" w:rsidRPr="00807DAF" w:rsidRDefault="0F90D236" w:rsidP="003A723F">
      <w:pPr>
        <w:numPr>
          <w:ilvl w:val="0"/>
          <w:numId w:val="15"/>
        </w:numPr>
        <w:spacing w:before="120" w:after="0"/>
      </w:pPr>
      <w:r>
        <w:t>Contractors</w:t>
      </w:r>
    </w:p>
    <w:p w14:paraId="04645D8E" w14:textId="43D93035" w:rsidR="000B66B4" w:rsidRPr="00807DAF" w:rsidRDefault="0F90D236" w:rsidP="003A723F">
      <w:pPr>
        <w:spacing w:before="120" w:after="0"/>
      </w:pPr>
      <w:r>
        <w:t xml:space="preserve">The beneficiaries </w:t>
      </w:r>
      <w:r w:rsidR="00A27D83" w:rsidRPr="00807DAF">
        <w:t xml:space="preserve">and their affiliated entities </w:t>
      </w:r>
      <w:r>
        <w:t xml:space="preserve">are permitted to award contracts. Associates </w:t>
      </w:r>
      <w:r w:rsidR="00A27D83" w:rsidRPr="00807DAF">
        <w:t>or affiliated entity(</w:t>
      </w:r>
      <w:proofErr w:type="spellStart"/>
      <w:r w:rsidR="00A27D83" w:rsidRPr="00807DAF">
        <w:t>ies</w:t>
      </w:r>
      <w:proofErr w:type="spellEnd"/>
      <w:r w:rsidR="00A27D83" w:rsidRPr="00807DAF">
        <w:t>)</w:t>
      </w:r>
      <w:r w:rsidR="00A27D83">
        <w:t xml:space="preserve"> </w:t>
      </w:r>
      <w:r>
        <w:t>cannot be also contractors in the project. Contractors are subject to the procurement rules set out in Annex</w:t>
      </w:r>
      <w:r w:rsidR="000D74F9">
        <w:t xml:space="preserve"> </w:t>
      </w:r>
      <w:r>
        <w:t>IV to the standard grant contract.</w:t>
      </w:r>
    </w:p>
    <w:p w14:paraId="6928878D" w14:textId="0B6CEC22" w:rsidR="007067E5" w:rsidRDefault="0F90D236" w:rsidP="00A47D20">
      <w:pPr>
        <w:pStyle w:val="Guidelines3"/>
        <w:numPr>
          <w:ilvl w:val="2"/>
          <w:numId w:val="68"/>
        </w:numPr>
        <w:outlineLvl w:val="2"/>
      </w:pPr>
      <w:bookmarkStart w:id="24" w:name="_Toc145057268"/>
      <w:r>
        <w:t>Eligible actions: actions for which an application may be made</w:t>
      </w:r>
      <w:bookmarkEnd w:id="24"/>
    </w:p>
    <w:p w14:paraId="53FCFA23" w14:textId="77777777" w:rsidR="007067E5" w:rsidRPr="00807DAF" w:rsidRDefault="0F90D236" w:rsidP="003A723F">
      <w:pPr>
        <w:spacing w:before="120" w:after="0"/>
      </w:pPr>
      <w:r>
        <w:t xml:space="preserve">Definition: </w:t>
      </w:r>
    </w:p>
    <w:p w14:paraId="2B14FEA3" w14:textId="7E1B3579" w:rsidR="007067E5" w:rsidRPr="00807DAF" w:rsidRDefault="0F90D236" w:rsidP="003A723F">
      <w:pPr>
        <w:spacing w:before="120" w:after="0"/>
      </w:pPr>
      <w:r>
        <w:t xml:space="preserve">An </w:t>
      </w:r>
      <w:r w:rsidRPr="00D8041C">
        <w:t>action</w:t>
      </w:r>
      <w:r>
        <w:t xml:space="preserve"> is composed of a set of activities.</w:t>
      </w:r>
    </w:p>
    <w:p w14:paraId="5F797899" w14:textId="77777777" w:rsidR="007067E5" w:rsidRPr="00807DAF" w:rsidRDefault="0F90D236" w:rsidP="0F90D236">
      <w:pPr>
        <w:spacing w:before="120" w:after="0"/>
        <w:rPr>
          <w:u w:val="single"/>
        </w:rPr>
      </w:pPr>
      <w:r w:rsidRPr="0F90D236">
        <w:rPr>
          <w:u w:val="single"/>
        </w:rPr>
        <w:t>Duration</w:t>
      </w:r>
    </w:p>
    <w:p w14:paraId="4D809FDD" w14:textId="2FB14040" w:rsidR="000D4DC8" w:rsidRPr="00807DAF" w:rsidRDefault="0F90D236" w:rsidP="003A723F">
      <w:pPr>
        <w:spacing w:before="120" w:after="0"/>
      </w:pPr>
      <w:r>
        <w:t xml:space="preserve">The initial planned duration of an action may not be lower than </w:t>
      </w:r>
      <w:r w:rsidRPr="0F90D236">
        <w:rPr>
          <w:b/>
          <w:bCs/>
        </w:rPr>
        <w:t>12</w:t>
      </w:r>
      <w:r>
        <w:t xml:space="preserve"> </w:t>
      </w:r>
      <w:r w:rsidRPr="0F90D236">
        <w:rPr>
          <w:b/>
          <w:bCs/>
        </w:rPr>
        <w:t>month</w:t>
      </w:r>
      <w:r w:rsidRPr="00877BCA">
        <w:rPr>
          <w:b/>
        </w:rPr>
        <w:t>s</w:t>
      </w:r>
      <w:r>
        <w:t xml:space="preserve"> nor exceed </w:t>
      </w:r>
      <w:r w:rsidRPr="0F90D236">
        <w:rPr>
          <w:b/>
          <w:bCs/>
        </w:rPr>
        <w:t>15 months</w:t>
      </w:r>
      <w:r>
        <w:t>.</w:t>
      </w:r>
    </w:p>
    <w:p w14:paraId="73C2B6B6" w14:textId="5A81BB6C" w:rsidR="007067E5" w:rsidRPr="00492BB9" w:rsidRDefault="0F90D236" w:rsidP="0F90D236">
      <w:pPr>
        <w:spacing w:before="120" w:after="0"/>
        <w:rPr>
          <w:u w:val="single"/>
        </w:rPr>
      </w:pPr>
      <w:r w:rsidRPr="0F90D236">
        <w:rPr>
          <w:u w:val="single"/>
        </w:rPr>
        <w:t>Sectors or themes</w:t>
      </w:r>
    </w:p>
    <w:p w14:paraId="4CC6571B" w14:textId="36458C2A" w:rsidR="003A684C" w:rsidRPr="00D8041C" w:rsidRDefault="0F90D236" w:rsidP="003A723F">
      <w:pPr>
        <w:spacing w:before="120" w:after="0"/>
      </w:pPr>
      <w:r>
        <w:t>Civil Society</w:t>
      </w:r>
    </w:p>
    <w:p w14:paraId="618B6D77" w14:textId="77777777" w:rsidR="007067E5" w:rsidRPr="00D8041C" w:rsidRDefault="0F90D236" w:rsidP="0F90D236">
      <w:pPr>
        <w:spacing w:before="120" w:after="0"/>
        <w:rPr>
          <w:u w:val="single"/>
        </w:rPr>
      </w:pPr>
      <w:r w:rsidRPr="00D8041C">
        <w:rPr>
          <w:u w:val="single"/>
        </w:rPr>
        <w:t>Location</w:t>
      </w:r>
    </w:p>
    <w:p w14:paraId="7C82CBFB" w14:textId="16648FFB" w:rsidR="000D70B6" w:rsidRPr="00D8041C" w:rsidRDefault="0783902A" w:rsidP="003A723F">
      <w:pPr>
        <w:spacing w:before="120" w:after="0"/>
      </w:pPr>
      <w:r w:rsidRPr="00D8041C">
        <w:t xml:space="preserve">Actions must take place in </w:t>
      </w:r>
      <w:r w:rsidR="009905AB" w:rsidRPr="00807DAF">
        <w:t xml:space="preserve">the following </w:t>
      </w:r>
      <w:r w:rsidR="009905AB">
        <w:rPr>
          <w:szCs w:val="22"/>
          <w:lang w:eastAsia="tr-TR"/>
        </w:rPr>
        <w:t xml:space="preserve">countries: </w:t>
      </w:r>
      <w:proofErr w:type="spellStart"/>
      <w:r w:rsidRPr="00D8041C">
        <w:t>Türkiye</w:t>
      </w:r>
      <w:proofErr w:type="spellEnd"/>
      <w:r w:rsidRPr="00D8041C">
        <w:t xml:space="preserve"> and/or </w:t>
      </w:r>
      <w:r w:rsidR="00CC2D8A">
        <w:t xml:space="preserve">EU </w:t>
      </w:r>
      <w:r w:rsidRPr="00D8041C">
        <w:t>Member State</w:t>
      </w:r>
      <w:r w:rsidR="00CC2D8A">
        <w:t>(s).</w:t>
      </w:r>
    </w:p>
    <w:p w14:paraId="5EB8AE56" w14:textId="77777777" w:rsidR="007067E5" w:rsidRPr="00D8041C" w:rsidRDefault="0F90D236" w:rsidP="003A723F">
      <w:pPr>
        <w:spacing w:before="120" w:after="0"/>
        <w:rPr>
          <w:szCs w:val="22"/>
        </w:rPr>
      </w:pPr>
      <w:r w:rsidRPr="00004EAB">
        <w:lastRenderedPageBreak/>
        <w:t>In addition, if properly justified, some activities can be implemented in other eligible countries. However, such activities cannot constitute the major part of the action.</w:t>
      </w:r>
    </w:p>
    <w:p w14:paraId="6E04F9BF" w14:textId="790FAFCE" w:rsidR="007067E5" w:rsidRPr="00D8041C" w:rsidRDefault="0F90D236" w:rsidP="0F90D236">
      <w:pPr>
        <w:spacing w:before="120" w:after="0"/>
        <w:rPr>
          <w:u w:val="single"/>
        </w:rPr>
      </w:pPr>
      <w:r w:rsidRPr="00D8041C">
        <w:rPr>
          <w:u w:val="single"/>
        </w:rPr>
        <w:t>Types of action</w:t>
      </w:r>
    </w:p>
    <w:p w14:paraId="670158E4" w14:textId="6FA90957" w:rsidR="00745D7D" w:rsidRPr="00745D7D" w:rsidRDefault="0F90D236" w:rsidP="003A723F">
      <w:pPr>
        <w:tabs>
          <w:tab w:val="left" w:pos="1348"/>
        </w:tabs>
        <w:spacing w:before="120" w:after="0"/>
      </w:pPr>
      <w:r w:rsidRPr="00004EAB">
        <w:t xml:space="preserve">The actions listed are by way of example only and </w:t>
      </w:r>
      <w:r w:rsidRPr="00004EAB">
        <w:rPr>
          <w:b/>
          <w:bCs/>
        </w:rPr>
        <w:t>are not limited</w:t>
      </w:r>
      <w:r w:rsidRPr="00004EAB">
        <w:t xml:space="preserve"> to these types of actions.</w:t>
      </w:r>
    </w:p>
    <w:p w14:paraId="39BC0403" w14:textId="42D84631" w:rsidR="00745D7D" w:rsidRPr="008344D9" w:rsidRDefault="0F90D236" w:rsidP="003A723F">
      <w:pPr>
        <w:numPr>
          <w:ilvl w:val="0"/>
          <w:numId w:val="15"/>
        </w:numPr>
        <w:spacing w:before="120" w:after="0"/>
      </w:pPr>
      <w:r>
        <w:t>Capacity building of the chambers to better serve and represent their members;</w:t>
      </w:r>
    </w:p>
    <w:p w14:paraId="7CF2B11E" w14:textId="7E099BBD" w:rsidR="00745D7D" w:rsidRPr="008344D9" w:rsidRDefault="0F90D236" w:rsidP="003A723F">
      <w:pPr>
        <w:numPr>
          <w:ilvl w:val="0"/>
          <w:numId w:val="15"/>
        </w:numPr>
        <w:spacing w:before="120" w:after="0"/>
      </w:pPr>
      <w:r>
        <w:t>Support to local/regional investment promotion activities;</w:t>
      </w:r>
    </w:p>
    <w:p w14:paraId="0581B76D" w14:textId="51A8AEF9" w:rsidR="00745D7D" w:rsidRPr="008344D9" w:rsidRDefault="0F90D236" w:rsidP="003A723F">
      <w:pPr>
        <w:numPr>
          <w:ilvl w:val="0"/>
          <w:numId w:val="15"/>
        </w:numPr>
        <w:spacing w:before="120" w:after="0"/>
      </w:pPr>
      <w:r>
        <w:t>Promotion of SME development, marketing, industry-university collaboration in the field of commercialization;</w:t>
      </w:r>
    </w:p>
    <w:p w14:paraId="5C6676E2" w14:textId="4F4D7679" w:rsidR="00745D7D" w:rsidRPr="008344D9" w:rsidRDefault="0F90D236" w:rsidP="003A723F">
      <w:pPr>
        <w:numPr>
          <w:ilvl w:val="0"/>
          <w:numId w:val="15"/>
        </w:numPr>
        <w:spacing w:before="120" w:after="0"/>
      </w:pPr>
      <w:r>
        <w:t>Promotion of exchange of knowledge and best practices in the field of commercialization;</w:t>
      </w:r>
    </w:p>
    <w:p w14:paraId="68266338" w14:textId="69C6EF00" w:rsidR="003407F2" w:rsidRPr="008344D9" w:rsidRDefault="0F90D236" w:rsidP="003A723F">
      <w:pPr>
        <w:numPr>
          <w:ilvl w:val="0"/>
          <w:numId w:val="15"/>
        </w:numPr>
        <w:spacing w:before="120" w:after="0"/>
      </w:pPr>
      <w:r>
        <w:t>Raising awareness to address environmental issues for industries;</w:t>
      </w:r>
    </w:p>
    <w:p w14:paraId="23B953C1" w14:textId="0FCBB42F" w:rsidR="003407F2" w:rsidRPr="00D8041C" w:rsidRDefault="0F90D236" w:rsidP="003A723F">
      <w:pPr>
        <w:numPr>
          <w:ilvl w:val="0"/>
          <w:numId w:val="15"/>
        </w:numPr>
        <w:spacing w:before="120" w:after="0"/>
      </w:pPr>
      <w:r w:rsidRPr="00D8041C">
        <w:t>Actions addressing climate action (including both mitigation and adaptation with particular focus on Nature Based Solutions);</w:t>
      </w:r>
    </w:p>
    <w:p w14:paraId="17CEE8FC" w14:textId="14CC391B" w:rsidR="003407F2" w:rsidRPr="00D8041C" w:rsidRDefault="0F90D236" w:rsidP="003A723F">
      <w:pPr>
        <w:numPr>
          <w:ilvl w:val="0"/>
          <w:numId w:val="15"/>
        </w:numPr>
        <w:spacing w:before="120" w:after="0"/>
      </w:pPr>
      <w:r w:rsidRPr="00D8041C">
        <w:t>Actions towards dissemination and piloting of sustainable and smart agricultural practices including irrigation, sustainable food systems and sustainable food consumption;</w:t>
      </w:r>
    </w:p>
    <w:p w14:paraId="77CCC52A" w14:textId="79B785F7" w:rsidR="003407F2" w:rsidRPr="00D8041C" w:rsidRDefault="0F90D236" w:rsidP="003A723F">
      <w:pPr>
        <w:numPr>
          <w:ilvl w:val="0"/>
          <w:numId w:val="15"/>
        </w:numPr>
        <w:spacing w:before="120" w:after="0"/>
      </w:pPr>
      <w:r w:rsidRPr="00D8041C">
        <w:t>Actions towards achievement of Farm to Fork Strategy objectives, such as prevention of food loss and waste;</w:t>
      </w:r>
    </w:p>
    <w:p w14:paraId="05B4D040" w14:textId="109B47AC" w:rsidR="003407F2" w:rsidRPr="00D8041C" w:rsidRDefault="0F90D236" w:rsidP="003A723F">
      <w:pPr>
        <w:numPr>
          <w:ilvl w:val="0"/>
          <w:numId w:val="15"/>
        </w:numPr>
        <w:spacing w:before="120" w:after="0"/>
      </w:pPr>
      <w:r w:rsidRPr="00D8041C">
        <w:t>Actions towards tackling environmental pollution (with particular emphasis on prevention);</w:t>
      </w:r>
    </w:p>
    <w:p w14:paraId="6ACD5758" w14:textId="257B931F" w:rsidR="003407F2" w:rsidRPr="00D8041C" w:rsidRDefault="0F90D236" w:rsidP="003A723F">
      <w:pPr>
        <w:numPr>
          <w:ilvl w:val="0"/>
          <w:numId w:val="15"/>
        </w:numPr>
        <w:spacing w:before="120" w:after="0"/>
      </w:pPr>
      <w:r w:rsidRPr="00D8041C">
        <w:t>Actions related to circular economy and resource efficiency (including waste and/or water management and energy efficiency);</w:t>
      </w:r>
    </w:p>
    <w:p w14:paraId="629CA8DA" w14:textId="4D56FC29" w:rsidR="003407F2" w:rsidRPr="00D8041C" w:rsidRDefault="0F90D236" w:rsidP="003A723F">
      <w:pPr>
        <w:numPr>
          <w:ilvl w:val="0"/>
          <w:numId w:val="15"/>
        </w:numPr>
        <w:spacing w:before="120" w:after="0"/>
      </w:pPr>
      <w:r w:rsidRPr="00D8041C">
        <w:t>Developing and piloting integrated and innovative solutions and actions relevant to the objectives of the call;</w:t>
      </w:r>
    </w:p>
    <w:p w14:paraId="2F06A3F7" w14:textId="01FCDCBB" w:rsidR="003407F2" w:rsidRPr="00D8041C" w:rsidRDefault="0F90D236" w:rsidP="003A723F">
      <w:pPr>
        <w:numPr>
          <w:ilvl w:val="0"/>
          <w:numId w:val="15"/>
        </w:numPr>
        <w:spacing w:before="120" w:after="0"/>
      </w:pPr>
      <w:r w:rsidRPr="00D8041C">
        <w:t>Actions towards data and information generation, gathering and dissemination for environmental protection;</w:t>
      </w:r>
    </w:p>
    <w:p w14:paraId="2CCCFC5F" w14:textId="5E732F97" w:rsidR="003407F2" w:rsidRPr="000A257B" w:rsidRDefault="00CF3D74" w:rsidP="003A723F">
      <w:pPr>
        <w:numPr>
          <w:ilvl w:val="0"/>
          <w:numId w:val="15"/>
        </w:numPr>
        <w:spacing w:before="120" w:after="0"/>
      </w:pPr>
      <w:r w:rsidRPr="00CF3D74">
        <w:t>Actions on promotion of good practices in terms of climate smart agriculture such as; regenerative agriculture, organic farming, horticulture, agroforestry, sustainable management of soil, water, as well as crop and livestock, integrated food energy systems, improved animal welfare, etc. also promotion of the innovative ways aiming to develop circular economy and reuse of waste products in agriculture</w:t>
      </w:r>
      <w:r w:rsidR="0F90D236" w:rsidRPr="00D8041C">
        <w:t>;</w:t>
      </w:r>
    </w:p>
    <w:p w14:paraId="2A987A09" w14:textId="1D1486EA" w:rsidR="00745D7D" w:rsidRPr="008344D9" w:rsidRDefault="0F90D236" w:rsidP="003A723F">
      <w:pPr>
        <w:numPr>
          <w:ilvl w:val="0"/>
          <w:numId w:val="15"/>
        </w:numPr>
        <w:spacing w:before="120" w:after="0"/>
      </w:pPr>
      <w:r>
        <w:t>Establishing clusters and cluster support structures;</w:t>
      </w:r>
    </w:p>
    <w:p w14:paraId="368E8449" w14:textId="37888691" w:rsidR="00745D7D" w:rsidRPr="008344D9" w:rsidRDefault="0F90D236" w:rsidP="003A723F">
      <w:pPr>
        <w:numPr>
          <w:ilvl w:val="0"/>
          <w:numId w:val="15"/>
        </w:numPr>
        <w:spacing w:before="120" w:after="0"/>
      </w:pPr>
      <w:r>
        <w:t>Capacity development in the field of vocational training and education;</w:t>
      </w:r>
    </w:p>
    <w:p w14:paraId="1475B645" w14:textId="0B9F2E10" w:rsidR="00745D7D" w:rsidRPr="008344D9" w:rsidRDefault="0F90D236" w:rsidP="003A723F">
      <w:pPr>
        <w:numPr>
          <w:ilvl w:val="0"/>
          <w:numId w:val="15"/>
        </w:numPr>
        <w:spacing w:before="120" w:after="0"/>
      </w:pPr>
      <w:r>
        <w:t>Actions on improvement of the employability and adaptability of the labour force;</w:t>
      </w:r>
    </w:p>
    <w:p w14:paraId="02DE2F11" w14:textId="74B6D6EE" w:rsidR="00745D7D" w:rsidRPr="008344D9" w:rsidRDefault="0F90D236" w:rsidP="003A723F">
      <w:pPr>
        <w:numPr>
          <w:ilvl w:val="0"/>
          <w:numId w:val="15"/>
        </w:numPr>
        <w:spacing w:before="120" w:after="0"/>
      </w:pPr>
      <w:r>
        <w:t>Promoting health and safety at work;</w:t>
      </w:r>
    </w:p>
    <w:p w14:paraId="061D09DF" w14:textId="03F59903" w:rsidR="00B34E7E" w:rsidRPr="00D8041C" w:rsidRDefault="0783902A" w:rsidP="003A723F">
      <w:pPr>
        <w:numPr>
          <w:ilvl w:val="0"/>
          <w:numId w:val="15"/>
        </w:numPr>
        <w:spacing w:before="120" w:after="0"/>
      </w:pPr>
      <w:r w:rsidRPr="00D8041C">
        <w:t xml:space="preserve">Actions supporting </w:t>
      </w:r>
      <w:proofErr w:type="spellStart"/>
      <w:r w:rsidR="008F69BE">
        <w:t>Türkiye</w:t>
      </w:r>
      <w:proofErr w:type="spellEnd"/>
      <w:r w:rsidR="008F69BE">
        <w:t>-</w:t>
      </w:r>
      <w:r w:rsidRPr="00D8041C">
        <w:t>EU business and trade relations, customs union and its possible modernization process;</w:t>
      </w:r>
    </w:p>
    <w:p w14:paraId="23105C85" w14:textId="77777777" w:rsidR="00B34E7E" w:rsidRPr="00D8041C" w:rsidRDefault="0F90D236" w:rsidP="003A723F">
      <w:pPr>
        <w:numPr>
          <w:ilvl w:val="0"/>
          <w:numId w:val="15"/>
        </w:numPr>
        <w:spacing w:before="120" w:after="0"/>
      </w:pPr>
      <w:r w:rsidRPr="00D8041C">
        <w:t>Actions on reinforcing or creating platforms to be regularly informed about the EU integration process;</w:t>
      </w:r>
    </w:p>
    <w:p w14:paraId="45BA301C" w14:textId="19501FE7" w:rsidR="00B34E7E" w:rsidRPr="008344D9" w:rsidRDefault="0F90D236" w:rsidP="003A723F">
      <w:pPr>
        <w:numPr>
          <w:ilvl w:val="0"/>
          <w:numId w:val="15"/>
        </w:numPr>
        <w:spacing w:before="120" w:after="0"/>
      </w:pPr>
      <w:r>
        <w:t>Promoting research and development, innovation, transfer of technology, and IT technology</w:t>
      </w:r>
      <w:r w:rsidRPr="0F90D236">
        <w:rPr>
          <w:rStyle w:val="CommentReference"/>
        </w:rPr>
        <w:t>;</w:t>
      </w:r>
    </w:p>
    <w:p w14:paraId="12D47B31" w14:textId="4C168B70" w:rsidR="00B34E7E" w:rsidRPr="00D8041C" w:rsidRDefault="0F90D236" w:rsidP="003A723F">
      <w:pPr>
        <w:numPr>
          <w:ilvl w:val="0"/>
          <w:numId w:val="15"/>
        </w:numPr>
        <w:spacing w:before="120" w:after="0"/>
      </w:pPr>
      <w:r w:rsidRPr="00D8041C">
        <w:t>Actions on enhancing digital transformation, digitalisation, digital trade, digital skills and creative industries;</w:t>
      </w:r>
    </w:p>
    <w:p w14:paraId="7C86B22E" w14:textId="2A5CCA02" w:rsidR="00B34E7E" w:rsidRPr="000A257B" w:rsidRDefault="0F90D236" w:rsidP="003A723F">
      <w:pPr>
        <w:numPr>
          <w:ilvl w:val="0"/>
          <w:numId w:val="15"/>
        </w:numPr>
        <w:spacing w:before="120" w:after="0"/>
      </w:pPr>
      <w:r w:rsidRPr="000A257B">
        <w:t>Promoting women and young entrepreneurship, development of entrepreneurial culture and spirit;</w:t>
      </w:r>
    </w:p>
    <w:p w14:paraId="566E956E" w14:textId="1DA1B5FE" w:rsidR="00B34E7E" w:rsidRPr="000A257B" w:rsidRDefault="0F90D236" w:rsidP="003A723F">
      <w:pPr>
        <w:numPr>
          <w:ilvl w:val="0"/>
          <w:numId w:val="15"/>
        </w:numPr>
        <w:spacing w:before="120" w:after="0"/>
      </w:pPr>
      <w:r w:rsidRPr="000A257B">
        <w:t>Enhancing sustainable production and consumption and developing innovative tools for climate change adaptation;</w:t>
      </w:r>
    </w:p>
    <w:p w14:paraId="6B678D93" w14:textId="097EE9ED" w:rsidR="00B34E7E" w:rsidRPr="000A257B" w:rsidRDefault="0F90D236" w:rsidP="003A723F">
      <w:pPr>
        <w:numPr>
          <w:ilvl w:val="0"/>
          <w:numId w:val="15"/>
        </w:numPr>
        <w:spacing w:before="120" w:after="0"/>
      </w:pPr>
      <w:r w:rsidRPr="000A257B">
        <w:t>Climate change adaptation and disaster resilient studies, practices and awareness raising actions in various sectors including energy, transport, agriculture, land-use and forestry and waste, etc.;</w:t>
      </w:r>
    </w:p>
    <w:p w14:paraId="2456EBBF" w14:textId="5CE8D014" w:rsidR="00B34E7E" w:rsidRPr="000A257B" w:rsidRDefault="0F90D236" w:rsidP="003A723F">
      <w:pPr>
        <w:numPr>
          <w:ilvl w:val="0"/>
          <w:numId w:val="15"/>
        </w:numPr>
        <w:spacing w:before="120" w:after="0"/>
      </w:pPr>
      <w:r w:rsidRPr="000A257B">
        <w:lastRenderedPageBreak/>
        <w:t>Actions on increasing knowledge regarding the implementation of marketing standards for agricultural products [such as how the relevant EU legislation standards are implemented and inspected throughout the production and marketing chain by different operators (e.g. by producer organisations, traders, retailers, etc.)];</w:t>
      </w:r>
    </w:p>
    <w:p w14:paraId="359EB310" w14:textId="4D8C7CDD" w:rsidR="00B34E7E" w:rsidRPr="00A71B87" w:rsidRDefault="0F90D236" w:rsidP="0F90D236">
      <w:pPr>
        <w:numPr>
          <w:ilvl w:val="0"/>
          <w:numId w:val="15"/>
        </w:numPr>
        <w:spacing w:before="120" w:after="0"/>
      </w:pPr>
      <w:r w:rsidRPr="00A71B87">
        <w:t>Actions covering studies on renewable energy policy, roles and responsibilities for different actors;</w:t>
      </w:r>
    </w:p>
    <w:p w14:paraId="24483AE4" w14:textId="0991CA2F" w:rsidR="00B34E7E" w:rsidRPr="000A257B" w:rsidRDefault="0F90D236" w:rsidP="003A723F">
      <w:pPr>
        <w:numPr>
          <w:ilvl w:val="0"/>
          <w:numId w:val="15"/>
        </w:numPr>
        <w:spacing w:before="120" w:after="0"/>
      </w:pPr>
      <w:r w:rsidRPr="000A257B">
        <w:t>Exchange of information, experiences and best practices to adopt environment sensitive and energy efficient services, products, technologies and production processes;</w:t>
      </w:r>
    </w:p>
    <w:p w14:paraId="4641CDF5" w14:textId="362FE741" w:rsidR="00B25089" w:rsidRPr="000A257B" w:rsidRDefault="0F90D236" w:rsidP="00B25089">
      <w:pPr>
        <w:numPr>
          <w:ilvl w:val="0"/>
          <w:numId w:val="15"/>
        </w:numPr>
        <w:spacing w:before="120" w:after="0"/>
      </w:pPr>
      <w:r w:rsidRPr="000A257B">
        <w:t>Actions on gender equality, empowerment of women in business and women entrepreneurship including enhancing digital skills;</w:t>
      </w:r>
    </w:p>
    <w:p w14:paraId="45375D08" w14:textId="7FFBC3CE" w:rsidR="00B25089" w:rsidRPr="000A257B" w:rsidRDefault="0F90D236" w:rsidP="00300236">
      <w:pPr>
        <w:numPr>
          <w:ilvl w:val="0"/>
          <w:numId w:val="15"/>
        </w:numPr>
        <w:spacing w:before="120" w:after="0"/>
      </w:pPr>
      <w:r w:rsidRPr="000A257B">
        <w:t>Actions on social economy including eco-friendly business, circular economy, fair trade, social entrepreneurship and impact, and actions within the framework of the </w:t>
      </w:r>
      <w:hyperlink r:id="rId22">
        <w:r w:rsidRPr="000A257B">
          <w:t>UN Guiding Principles on Business and Human Rights</w:t>
        </w:r>
      </w:hyperlink>
      <w:r w:rsidRPr="000A257B">
        <w:t>.</w:t>
      </w:r>
    </w:p>
    <w:p w14:paraId="53C7EC53" w14:textId="175223E2" w:rsidR="008344D9" w:rsidRPr="008344D9" w:rsidRDefault="0F90D236" w:rsidP="003A723F">
      <w:pPr>
        <w:spacing w:before="120" w:after="0"/>
      </w:pPr>
      <w:r>
        <w:t xml:space="preserve">The following types of action </w:t>
      </w:r>
      <w:r w:rsidRPr="0F90D236">
        <w:rPr>
          <w:b/>
          <w:bCs/>
        </w:rPr>
        <w:t>are ineligible</w:t>
      </w:r>
      <w:r>
        <w:t>:</w:t>
      </w:r>
    </w:p>
    <w:p w14:paraId="37C21B32" w14:textId="77777777" w:rsidR="008344D9" w:rsidRPr="008344D9" w:rsidRDefault="0F90D236" w:rsidP="003A723F">
      <w:pPr>
        <w:numPr>
          <w:ilvl w:val="0"/>
          <w:numId w:val="15"/>
        </w:numPr>
        <w:spacing w:before="120" w:after="0"/>
      </w:pPr>
      <w:r>
        <w:t>actions concerned only or mainly with individual sponsorships for participation in workshops, seminars, conferences and congresses;</w:t>
      </w:r>
    </w:p>
    <w:p w14:paraId="2C9A2E59" w14:textId="77777777" w:rsidR="008344D9" w:rsidRPr="008344D9" w:rsidRDefault="0F90D236" w:rsidP="003A723F">
      <w:pPr>
        <w:numPr>
          <w:ilvl w:val="0"/>
          <w:numId w:val="15"/>
        </w:numPr>
        <w:spacing w:before="120" w:after="0"/>
      </w:pPr>
      <w:r>
        <w:t>actions concerned only or mainly with individual scholarships for studies or training courses;</w:t>
      </w:r>
    </w:p>
    <w:p w14:paraId="31F0D65D" w14:textId="77777777" w:rsidR="008344D9" w:rsidRPr="008344D9" w:rsidRDefault="0F90D236" w:rsidP="003A723F">
      <w:pPr>
        <w:numPr>
          <w:ilvl w:val="0"/>
          <w:numId w:val="15"/>
        </w:numPr>
        <w:spacing w:before="120" w:after="0"/>
      </w:pPr>
      <w:r>
        <w:t>one-off actions such as conferences, roundtables, seminars or similar events. These actions can only be funded if they form part of a wider project. For this purpose, for example, preparatory activities for a conference and the publication of proceedings do not in themselves constitute such a wider project,</w:t>
      </w:r>
    </w:p>
    <w:p w14:paraId="7F5C72F1" w14:textId="783B6AC2" w:rsidR="008344D9" w:rsidRPr="008344D9" w:rsidRDefault="0F90D236" w:rsidP="003A723F">
      <w:pPr>
        <w:numPr>
          <w:ilvl w:val="0"/>
          <w:numId w:val="15"/>
        </w:numPr>
        <w:spacing w:before="120" w:after="0"/>
      </w:pPr>
      <w:r>
        <w:t>actions for which the applicant is already receiving funding e.g. from the Governmental budget, other Community programmes or other funds,</w:t>
      </w:r>
    </w:p>
    <w:p w14:paraId="18B27A7E" w14:textId="77777777" w:rsidR="008344D9" w:rsidRPr="008344D9" w:rsidRDefault="0F90D236" w:rsidP="003A723F">
      <w:pPr>
        <w:numPr>
          <w:ilvl w:val="0"/>
          <w:numId w:val="15"/>
        </w:numPr>
        <w:spacing w:before="120" w:after="0"/>
      </w:pPr>
      <w:r>
        <w:t>actions, which started before the signing of the contract with the CFCU,</w:t>
      </w:r>
    </w:p>
    <w:p w14:paraId="1211FFD4" w14:textId="77777777" w:rsidR="008344D9" w:rsidRPr="008344D9" w:rsidRDefault="0F90D236" w:rsidP="003A723F">
      <w:pPr>
        <w:numPr>
          <w:ilvl w:val="0"/>
          <w:numId w:val="15"/>
        </w:numPr>
        <w:spacing w:before="120" w:after="0"/>
      </w:pPr>
      <w:r>
        <w:t>actions consisting solely of academic research actions, feasibility studies (unless part of a broader project),</w:t>
      </w:r>
    </w:p>
    <w:p w14:paraId="77F0BFD9" w14:textId="1A7B9EF2" w:rsidR="008C6D2C" w:rsidRPr="008344D9" w:rsidRDefault="0F90D236" w:rsidP="003A723F">
      <w:pPr>
        <w:numPr>
          <w:ilvl w:val="0"/>
          <w:numId w:val="15"/>
        </w:numPr>
        <w:spacing w:before="120" w:after="0"/>
      </w:pPr>
      <w:r>
        <w:t>actions consisting solely of commercial activities,</w:t>
      </w:r>
    </w:p>
    <w:p w14:paraId="50950A43" w14:textId="77777777" w:rsidR="008344D9" w:rsidRPr="008344D9" w:rsidRDefault="0F90D236" w:rsidP="003A723F">
      <w:pPr>
        <w:numPr>
          <w:ilvl w:val="0"/>
          <w:numId w:val="15"/>
        </w:numPr>
        <w:spacing w:before="120" w:after="0"/>
      </w:pPr>
      <w:r>
        <w:t>actions which are ideologically biased or partisan in nature,</w:t>
      </w:r>
    </w:p>
    <w:p w14:paraId="00B7825D" w14:textId="77777777" w:rsidR="008344D9" w:rsidRPr="008344D9" w:rsidRDefault="0F90D236" w:rsidP="003A723F">
      <w:pPr>
        <w:numPr>
          <w:ilvl w:val="0"/>
          <w:numId w:val="15"/>
        </w:numPr>
        <w:spacing w:before="120" w:after="0"/>
      </w:pPr>
      <w:r>
        <w:t>actions supporting political parties,</w:t>
      </w:r>
    </w:p>
    <w:p w14:paraId="1B10CAFB" w14:textId="77777777" w:rsidR="008344D9" w:rsidRPr="008344D9" w:rsidRDefault="0F90D236" w:rsidP="003A723F">
      <w:pPr>
        <w:numPr>
          <w:ilvl w:val="0"/>
          <w:numId w:val="15"/>
        </w:numPr>
        <w:spacing w:before="120" w:after="0"/>
      </w:pPr>
      <w:r>
        <w:t>financial support activities (i.e. the use of the grant to make further grants (financial or in-kind) or loans to other organisations or individuals such as for those who are establishing their businesses),</w:t>
      </w:r>
    </w:p>
    <w:p w14:paraId="6E47C491" w14:textId="77777777" w:rsidR="008344D9" w:rsidRPr="008344D9" w:rsidRDefault="0F90D236" w:rsidP="003A723F">
      <w:pPr>
        <w:numPr>
          <w:ilvl w:val="0"/>
          <w:numId w:val="15"/>
        </w:numPr>
        <w:spacing w:before="120" w:after="0"/>
      </w:pPr>
      <w:r>
        <w:t>construction or investments for the adoption of new/supplementary facilities,</w:t>
      </w:r>
    </w:p>
    <w:p w14:paraId="524CDBA8" w14:textId="77777777" w:rsidR="008344D9" w:rsidRPr="008344D9" w:rsidRDefault="0F90D236" w:rsidP="003A723F">
      <w:pPr>
        <w:numPr>
          <w:ilvl w:val="0"/>
          <w:numId w:val="15"/>
        </w:numPr>
        <w:spacing w:before="120" w:after="0"/>
      </w:pPr>
      <w:r>
        <w:t>actions that include provisions to finance the core activities currently carried out by applicants,</w:t>
      </w:r>
    </w:p>
    <w:p w14:paraId="6993B0B1" w14:textId="77777777" w:rsidR="008344D9" w:rsidRPr="008344D9" w:rsidRDefault="0F90D236" w:rsidP="003A723F">
      <w:pPr>
        <w:numPr>
          <w:ilvl w:val="0"/>
          <w:numId w:val="15"/>
        </w:numPr>
        <w:spacing w:before="120" w:after="0"/>
      </w:pPr>
      <w:r>
        <w:t>infrastructure projects or projects essentially focused on the purchase of equipment,</w:t>
      </w:r>
    </w:p>
    <w:p w14:paraId="61EE6F62" w14:textId="77777777" w:rsidR="008344D9" w:rsidRPr="008344D9" w:rsidRDefault="0F90D236" w:rsidP="003A723F">
      <w:pPr>
        <w:numPr>
          <w:ilvl w:val="0"/>
          <w:numId w:val="15"/>
        </w:numPr>
        <w:spacing w:before="120" w:after="0"/>
      </w:pPr>
      <w:r>
        <w:t>actions consisting solely of the development of strategies, plans or other similar documents,</w:t>
      </w:r>
    </w:p>
    <w:p w14:paraId="1333F0D3" w14:textId="138D772B" w:rsidR="008344D9" w:rsidRPr="008344D9" w:rsidRDefault="0F90D236" w:rsidP="0F90D236">
      <w:pPr>
        <w:numPr>
          <w:ilvl w:val="0"/>
          <w:numId w:val="15"/>
        </w:numPr>
        <w:spacing w:before="120" w:after="0"/>
        <w:jc w:val="left"/>
        <w:rPr>
          <w:lang w:eastAsia="tr-TR"/>
        </w:rPr>
      </w:pPr>
      <w:r>
        <w:t>social service actions such as provision of food, clothing.</w:t>
      </w:r>
    </w:p>
    <w:p w14:paraId="4AAA898C" w14:textId="77777777" w:rsidR="008344D9" w:rsidRPr="008344D9" w:rsidRDefault="0F90D236" w:rsidP="0F90D236">
      <w:pPr>
        <w:spacing w:before="120" w:after="0"/>
        <w:rPr>
          <w:u w:val="single"/>
        </w:rPr>
      </w:pPr>
      <w:r w:rsidRPr="0F90D236">
        <w:rPr>
          <w:u w:val="single"/>
        </w:rPr>
        <w:t>Types of activity</w:t>
      </w:r>
    </w:p>
    <w:p w14:paraId="0B6B90DC" w14:textId="77777777" w:rsidR="008344D9" w:rsidRPr="008344D9" w:rsidRDefault="008344D9" w:rsidP="0F90D236">
      <w:pPr>
        <w:spacing w:before="120" w:after="0"/>
        <w:rPr>
          <w:lang w:eastAsia="tr-TR"/>
        </w:rPr>
      </w:pPr>
      <w:r w:rsidRPr="00004EAB">
        <w:rPr>
          <w:snapToGrid/>
          <w:lang w:eastAsia="tr-TR"/>
        </w:rPr>
        <w:t xml:space="preserve">The activities listed below are by way of example only and </w:t>
      </w:r>
      <w:r w:rsidRPr="00004EAB">
        <w:rPr>
          <w:b/>
          <w:bCs/>
          <w:snapToGrid/>
          <w:lang w:eastAsia="tr-TR"/>
        </w:rPr>
        <w:t xml:space="preserve">are not limited to </w:t>
      </w:r>
      <w:r w:rsidRPr="00004EAB">
        <w:rPr>
          <w:snapToGrid/>
          <w:lang w:eastAsia="tr-TR"/>
        </w:rPr>
        <w:t>these types of activities:</w:t>
      </w:r>
    </w:p>
    <w:p w14:paraId="38A108F6" w14:textId="77777777" w:rsidR="008344D9" w:rsidRPr="008344D9" w:rsidRDefault="008344D9" w:rsidP="0F90D236">
      <w:pPr>
        <w:numPr>
          <w:ilvl w:val="0"/>
          <w:numId w:val="39"/>
        </w:numPr>
        <w:spacing w:before="120" w:after="0"/>
        <w:rPr>
          <w:lang w:eastAsia="tr-TR"/>
        </w:rPr>
      </w:pPr>
      <w:r w:rsidRPr="0F90D236">
        <w:rPr>
          <w:snapToGrid/>
          <w:lang w:eastAsia="tr-TR"/>
        </w:rPr>
        <w:t xml:space="preserve">Needs assessment or diagnostic surveys; </w:t>
      </w:r>
    </w:p>
    <w:p w14:paraId="14E19252" w14:textId="77777777" w:rsidR="008344D9" w:rsidRPr="008344D9" w:rsidRDefault="008344D9" w:rsidP="0F90D236">
      <w:pPr>
        <w:numPr>
          <w:ilvl w:val="0"/>
          <w:numId w:val="39"/>
        </w:numPr>
        <w:spacing w:before="120" w:after="0"/>
        <w:rPr>
          <w:lang w:eastAsia="tr-TR"/>
        </w:rPr>
      </w:pPr>
      <w:r w:rsidRPr="0F90D236">
        <w:rPr>
          <w:snapToGrid/>
          <w:lang w:eastAsia="tr-TR"/>
        </w:rPr>
        <w:t>Development of strategies and plans in the selected thematic area of cooperation,</w:t>
      </w:r>
    </w:p>
    <w:p w14:paraId="3F793824" w14:textId="6BDDC018" w:rsidR="006E7B22" w:rsidRDefault="006E7B22" w:rsidP="0F90D236">
      <w:pPr>
        <w:numPr>
          <w:ilvl w:val="0"/>
          <w:numId w:val="39"/>
        </w:numPr>
        <w:spacing w:before="120" w:after="0"/>
        <w:rPr>
          <w:lang w:eastAsia="tr-TR"/>
        </w:rPr>
      </w:pPr>
      <w:r w:rsidRPr="0F90D236">
        <w:rPr>
          <w:snapToGrid/>
          <w:lang w:eastAsia="tr-TR"/>
        </w:rPr>
        <w:t xml:space="preserve">Transfer of expertise, provision of information and advice, </w:t>
      </w:r>
    </w:p>
    <w:p w14:paraId="286B8217" w14:textId="2A3DF716" w:rsidR="006E7B22" w:rsidRPr="000A257B" w:rsidRDefault="006E7B22" w:rsidP="0F90D236">
      <w:pPr>
        <w:numPr>
          <w:ilvl w:val="0"/>
          <w:numId w:val="39"/>
        </w:numPr>
        <w:spacing w:before="120" w:after="0"/>
        <w:rPr>
          <w:lang w:eastAsia="tr-TR"/>
        </w:rPr>
      </w:pPr>
      <w:r w:rsidRPr="000A257B">
        <w:rPr>
          <w:snapToGrid/>
          <w:lang w:eastAsia="tr-TR"/>
        </w:rPr>
        <w:t>Coaching, mentoring, matchmaking platforms</w:t>
      </w:r>
      <w:r w:rsidR="00B25089" w:rsidRPr="000A257B">
        <w:rPr>
          <w:snapToGrid/>
          <w:lang w:eastAsia="tr-TR"/>
        </w:rPr>
        <w:t>,</w:t>
      </w:r>
      <w:r w:rsidRPr="000A257B" w:rsidDel="00A723E5">
        <w:rPr>
          <w:snapToGrid/>
          <w:lang w:eastAsia="tr-TR"/>
        </w:rPr>
        <w:t xml:space="preserve"> </w:t>
      </w:r>
    </w:p>
    <w:p w14:paraId="3F6A6AFF" w14:textId="35216A83" w:rsidR="006E7B22" w:rsidRPr="00003187" w:rsidRDefault="006E7B22" w:rsidP="0F90D236">
      <w:pPr>
        <w:numPr>
          <w:ilvl w:val="0"/>
          <w:numId w:val="39"/>
        </w:numPr>
        <w:spacing w:before="120" w:after="0"/>
        <w:rPr>
          <w:lang w:val="en-US"/>
        </w:rPr>
      </w:pPr>
      <w:r w:rsidRPr="0F90D236">
        <w:rPr>
          <w:snapToGrid/>
          <w:lang w:eastAsia="tr-TR"/>
        </w:rPr>
        <w:t xml:space="preserve">Analysis and </w:t>
      </w:r>
      <w:r w:rsidRPr="0F90D236">
        <w:rPr>
          <w:lang w:val="en-US"/>
        </w:rPr>
        <w:t>transfer of best practices</w:t>
      </w:r>
      <w:r w:rsidR="00B57527" w:rsidRPr="0F90D236">
        <w:rPr>
          <w:lang w:val="en-US"/>
        </w:rPr>
        <w:t xml:space="preserve"> at the sectorial level (agri-food, creative industry, textile, tourism, transport, etc.)</w:t>
      </w:r>
      <w:r w:rsidR="00B57527" w:rsidRPr="0F90D236">
        <w:t>,</w:t>
      </w:r>
    </w:p>
    <w:p w14:paraId="70978CC7" w14:textId="77777777" w:rsidR="006E7B22" w:rsidRDefault="0F90D236" w:rsidP="0F90D236">
      <w:pPr>
        <w:numPr>
          <w:ilvl w:val="0"/>
          <w:numId w:val="39"/>
        </w:numPr>
        <w:autoSpaceDE w:val="0"/>
        <w:autoSpaceDN w:val="0"/>
        <w:adjustRightInd w:val="0"/>
        <w:spacing w:before="120" w:after="0"/>
        <w:rPr>
          <w:lang w:val="en-US"/>
        </w:rPr>
      </w:pPr>
      <w:r w:rsidRPr="0F90D236">
        <w:rPr>
          <w:lang w:val="en-US"/>
        </w:rPr>
        <w:lastRenderedPageBreak/>
        <w:t>Networking between the chambers, companies, specialized suppliers, service providers, firms in related industries, universities, standards agencies, and trade associations,</w:t>
      </w:r>
    </w:p>
    <w:p w14:paraId="0100ADD3" w14:textId="77777777" w:rsidR="006E7B22" w:rsidRPr="000A257B" w:rsidRDefault="0F90D236" w:rsidP="0F90D236">
      <w:pPr>
        <w:numPr>
          <w:ilvl w:val="0"/>
          <w:numId w:val="39"/>
        </w:numPr>
        <w:spacing w:before="120" w:after="0"/>
        <w:rPr>
          <w:lang w:val="en-US"/>
        </w:rPr>
      </w:pPr>
      <w:r w:rsidRPr="000A257B">
        <w:rPr>
          <w:lang w:val="en-US"/>
        </w:rPr>
        <w:t xml:space="preserve">National and international mobility aiming at expanding networks and platforms membership and at liaising with key stakeholders, </w:t>
      </w:r>
    </w:p>
    <w:p w14:paraId="12193120" w14:textId="77777777" w:rsidR="006E7B22" w:rsidRPr="000A257B" w:rsidRDefault="0F90D236" w:rsidP="0F90D236">
      <w:pPr>
        <w:numPr>
          <w:ilvl w:val="0"/>
          <w:numId w:val="39"/>
        </w:numPr>
        <w:autoSpaceDE w:val="0"/>
        <w:autoSpaceDN w:val="0"/>
        <w:adjustRightInd w:val="0"/>
        <w:spacing w:before="120" w:after="0"/>
        <w:rPr>
          <w:lang w:val="en-US"/>
        </w:rPr>
      </w:pPr>
      <w:r w:rsidRPr="000A257B">
        <w:t>Dissemination and sharing of information and knowledge,</w:t>
      </w:r>
    </w:p>
    <w:p w14:paraId="6B7E5850" w14:textId="77777777" w:rsidR="006E7B22" w:rsidRPr="000A257B" w:rsidRDefault="006E7B22" w:rsidP="0F90D236">
      <w:pPr>
        <w:numPr>
          <w:ilvl w:val="0"/>
          <w:numId w:val="39"/>
        </w:numPr>
        <w:spacing w:before="120" w:after="0"/>
        <w:rPr>
          <w:lang w:eastAsia="tr-TR"/>
        </w:rPr>
      </w:pPr>
      <w:r w:rsidRPr="000A257B">
        <w:rPr>
          <w:snapToGrid/>
          <w:lang w:eastAsia="tr-TR"/>
        </w:rPr>
        <w:t>Delivery of entrepreneurship training courses for supporting women to become active in the labour market, training and coaching to entrepreneurs at the very beginning of their business efforts in order to minimize the failure risk,</w:t>
      </w:r>
    </w:p>
    <w:p w14:paraId="690EE989" w14:textId="77777777" w:rsidR="006E7B22" w:rsidRPr="000A257B" w:rsidRDefault="006E7B22" w:rsidP="0F90D236">
      <w:pPr>
        <w:numPr>
          <w:ilvl w:val="0"/>
          <w:numId w:val="39"/>
        </w:numPr>
        <w:spacing w:before="120" w:after="0"/>
        <w:rPr>
          <w:lang w:eastAsia="tr-TR"/>
        </w:rPr>
      </w:pPr>
      <w:r w:rsidRPr="000A257B">
        <w:rPr>
          <w:snapToGrid/>
          <w:lang w:eastAsia="tr-TR"/>
        </w:rPr>
        <w:t xml:space="preserve">Trainings, seminars, conferences, workshops, B2B meetings, virtual fairs, </w:t>
      </w:r>
    </w:p>
    <w:p w14:paraId="7C2227B9" w14:textId="40DDF44E" w:rsidR="006E7B22" w:rsidRPr="000A257B" w:rsidRDefault="006E7B22" w:rsidP="0F90D236">
      <w:pPr>
        <w:numPr>
          <w:ilvl w:val="0"/>
          <w:numId w:val="39"/>
        </w:numPr>
        <w:spacing w:before="120" w:after="0"/>
        <w:rPr>
          <w:lang w:eastAsia="tr-TR"/>
        </w:rPr>
      </w:pPr>
      <w:r w:rsidRPr="000A257B">
        <w:rPr>
          <w:snapToGrid/>
          <w:lang w:eastAsia="tr-TR"/>
        </w:rPr>
        <w:t>Communication and awareness raising initiatives, including development of digital/IT tools,</w:t>
      </w:r>
    </w:p>
    <w:p w14:paraId="455AE72F" w14:textId="69CDF06D" w:rsidR="006E7B22" w:rsidRPr="000A257B" w:rsidRDefault="006E7B22" w:rsidP="0F90D236">
      <w:pPr>
        <w:numPr>
          <w:ilvl w:val="0"/>
          <w:numId w:val="39"/>
        </w:numPr>
        <w:spacing w:before="120" w:after="0"/>
        <w:rPr>
          <w:lang w:eastAsia="tr-TR"/>
        </w:rPr>
      </w:pPr>
      <w:r w:rsidRPr="000A257B">
        <w:rPr>
          <w:snapToGrid/>
          <w:lang w:eastAsia="tr-TR"/>
        </w:rPr>
        <w:t>Development/Improvement of new business models</w:t>
      </w:r>
      <w:r w:rsidR="004A2056" w:rsidRPr="000A257B">
        <w:rPr>
          <w:snapToGrid/>
          <w:lang w:eastAsia="tr-TR"/>
        </w:rPr>
        <w:t>.</w:t>
      </w:r>
    </w:p>
    <w:p w14:paraId="5BB35026" w14:textId="77777777" w:rsidR="008344D9" w:rsidRPr="008344D9" w:rsidRDefault="0F90D236" w:rsidP="00B6258B">
      <w:pPr>
        <w:spacing w:before="120" w:after="120"/>
        <w:rPr>
          <w:szCs w:val="22"/>
        </w:rPr>
      </w:pPr>
      <w:r w:rsidRPr="00004EAB">
        <w:t xml:space="preserve">The projects should </w:t>
      </w:r>
      <w:r w:rsidRPr="00004EAB">
        <w:rPr>
          <w:b/>
          <w:bCs/>
        </w:rPr>
        <w:t>not focus</w:t>
      </w:r>
      <w:r w:rsidRPr="00004EAB">
        <w:t xml:space="preserve"> only to </w:t>
      </w:r>
      <w:r w:rsidRPr="00004EAB">
        <w:rPr>
          <w:b/>
          <w:bCs/>
        </w:rPr>
        <w:t>one single</w:t>
      </w:r>
      <w:r w:rsidRPr="00004EAB">
        <w:t xml:space="preserve"> </w:t>
      </w:r>
      <w:r w:rsidRPr="00004EAB">
        <w:rPr>
          <w:b/>
          <w:bCs/>
        </w:rPr>
        <w:t>activity.</w:t>
      </w:r>
      <w:r w:rsidRPr="00004EAB">
        <w:t xml:space="preserve"> Organization activities should be self-contained operations indicating a coherent set of activities with clearly defined objectives, target groups, and planned outcomes.</w:t>
      </w:r>
    </w:p>
    <w:tbl>
      <w:tblPr>
        <w:tblW w:w="96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0"/>
      </w:tblGrid>
      <w:tr w:rsidR="003C5D33" w:rsidRPr="003C5D33" w14:paraId="582107CE" w14:textId="77777777" w:rsidTr="00C57AF5">
        <w:trPr>
          <w:trHeight w:val="1836"/>
        </w:trPr>
        <w:tc>
          <w:tcPr>
            <w:tcW w:w="9670" w:type="dxa"/>
            <w:shd w:val="clear" w:color="auto" w:fill="auto"/>
          </w:tcPr>
          <w:p w14:paraId="251C21E7" w14:textId="1DF23046" w:rsidR="003C5D33" w:rsidRPr="003C5D33" w:rsidRDefault="0F90D236" w:rsidP="0F90D236">
            <w:pPr>
              <w:spacing w:before="60" w:after="0"/>
              <w:jc w:val="center"/>
              <w:rPr>
                <w:b/>
                <w:bCs/>
              </w:rPr>
            </w:pPr>
            <w:r w:rsidRPr="0F90D236">
              <w:rPr>
                <w:b/>
                <w:bCs/>
              </w:rPr>
              <w:t>IMPORTANT NOTE - 2</w:t>
            </w:r>
          </w:p>
          <w:p w14:paraId="434D6C97" w14:textId="3B45FCFE" w:rsidR="003C5D33" w:rsidRPr="003C5D33" w:rsidRDefault="0F90D236" w:rsidP="0F90D236">
            <w:pPr>
              <w:spacing w:before="60" w:after="0"/>
              <w:rPr>
                <w:rFonts w:cs="Calibri"/>
                <w:b/>
                <w:bCs/>
              </w:rPr>
            </w:pPr>
            <w:r w:rsidRPr="0F90D236">
              <w:rPr>
                <w:rFonts w:cs="Calibri"/>
                <w:b/>
                <w:bCs/>
              </w:rPr>
              <w:t>Proposed actions should be “original” and suitable to the target group’s needs and problems. The proposed actions should be devised with proper solutions and sound implementation methodology. Therefore “copy-paste applications” shall be eliminated in the course of the evaluation process when the proposals present the same</w:t>
            </w:r>
          </w:p>
          <w:p w14:paraId="0C4BB640" w14:textId="77777777" w:rsidR="003C5D33" w:rsidRPr="003C5D33" w:rsidRDefault="0F90D236" w:rsidP="0F90D236">
            <w:pPr>
              <w:numPr>
                <w:ilvl w:val="0"/>
                <w:numId w:val="40"/>
              </w:numPr>
              <w:snapToGrid w:val="0"/>
              <w:spacing w:before="60" w:after="0"/>
              <w:ind w:left="714" w:hanging="357"/>
              <w:rPr>
                <w:b/>
                <w:bCs/>
                <w:lang w:eastAsia="tr-TR"/>
              </w:rPr>
            </w:pPr>
            <w:r w:rsidRPr="0F90D236">
              <w:rPr>
                <w:b/>
                <w:bCs/>
                <w:lang w:eastAsia="tr-TR"/>
              </w:rPr>
              <w:t>scope of activity, wording or the same sentences differentiated only by rephrasing,</w:t>
            </w:r>
          </w:p>
          <w:p w14:paraId="4F9B5D1C" w14:textId="77777777" w:rsidR="003C5D33" w:rsidRPr="003C5D33" w:rsidRDefault="0F90D236" w:rsidP="0F90D236">
            <w:pPr>
              <w:numPr>
                <w:ilvl w:val="0"/>
                <w:numId w:val="40"/>
              </w:numPr>
              <w:snapToGrid w:val="0"/>
              <w:spacing w:before="60" w:after="0"/>
              <w:ind w:left="714" w:hanging="357"/>
              <w:rPr>
                <w:b/>
                <w:bCs/>
                <w:lang w:eastAsia="tr-TR"/>
              </w:rPr>
            </w:pPr>
            <w:r w:rsidRPr="0F90D236">
              <w:rPr>
                <w:b/>
                <w:bCs/>
                <w:lang w:eastAsia="tr-TR"/>
              </w:rPr>
              <w:t>budget,</w:t>
            </w:r>
          </w:p>
          <w:p w14:paraId="164FED4A" w14:textId="7893AD1E" w:rsidR="003C5D33" w:rsidRPr="003C5D33" w:rsidRDefault="0F90D236" w:rsidP="0F90D236">
            <w:pPr>
              <w:numPr>
                <w:ilvl w:val="0"/>
                <w:numId w:val="40"/>
              </w:numPr>
              <w:snapToGrid w:val="0"/>
              <w:spacing w:before="60" w:after="0"/>
              <w:ind w:left="714" w:hanging="357"/>
              <w:rPr>
                <w:b/>
                <w:bCs/>
                <w:lang w:eastAsia="tr-TR"/>
              </w:rPr>
            </w:pPr>
            <w:r w:rsidRPr="0F90D236">
              <w:rPr>
                <w:b/>
                <w:bCs/>
                <w:lang w:eastAsia="tr-TR"/>
              </w:rPr>
              <w:t>implementation modalities with only few differences such as the implementation place, name of lead applicant/co-applicant(s</w:t>
            </w:r>
            <w:r w:rsidR="00CC2D8A" w:rsidRPr="0F90D236">
              <w:rPr>
                <w:b/>
                <w:bCs/>
                <w:lang w:eastAsia="tr-TR"/>
              </w:rPr>
              <w:t>)</w:t>
            </w:r>
            <w:r w:rsidR="00CC2D8A">
              <w:rPr>
                <w:b/>
                <w:bCs/>
                <w:lang w:eastAsia="tr-TR"/>
              </w:rPr>
              <w:t>/</w:t>
            </w:r>
            <w:r w:rsidR="00CC2D8A">
              <w:rPr>
                <w:b/>
                <w:bCs/>
                <w:szCs w:val="22"/>
              </w:rPr>
              <w:t>affiliated entity(</w:t>
            </w:r>
            <w:proofErr w:type="spellStart"/>
            <w:r w:rsidR="00CC2D8A">
              <w:rPr>
                <w:b/>
                <w:bCs/>
                <w:szCs w:val="22"/>
              </w:rPr>
              <w:t>ies</w:t>
            </w:r>
            <w:proofErr w:type="spellEnd"/>
            <w:r w:rsidR="00CC2D8A">
              <w:rPr>
                <w:b/>
                <w:bCs/>
                <w:szCs w:val="22"/>
              </w:rPr>
              <w:t xml:space="preserve">) (if any) </w:t>
            </w:r>
            <w:r w:rsidRPr="0F90D236">
              <w:rPr>
                <w:b/>
                <w:bCs/>
                <w:lang w:eastAsia="tr-TR"/>
              </w:rPr>
              <w:t>and the number of target group</w:t>
            </w:r>
          </w:p>
          <w:p w14:paraId="134EFBDD" w14:textId="0EEC3FD8" w:rsidR="003C5D33" w:rsidRPr="003C5D33" w:rsidRDefault="0F90D236" w:rsidP="00300236">
            <w:pPr>
              <w:spacing w:before="60" w:after="60"/>
              <w:rPr>
                <w:szCs w:val="22"/>
              </w:rPr>
            </w:pPr>
            <w:r w:rsidRPr="0F90D236">
              <w:rPr>
                <w:rFonts w:cs="Calibri"/>
                <w:b/>
                <w:bCs/>
              </w:rPr>
              <w:t xml:space="preserve">unless a solid ground is found to be considered acceptable by the </w:t>
            </w:r>
            <w:r w:rsidR="00CC2D8A">
              <w:rPr>
                <w:rFonts w:cs="Calibri"/>
                <w:b/>
                <w:bCs/>
              </w:rPr>
              <w:t>e</w:t>
            </w:r>
            <w:r w:rsidR="00CC2D8A" w:rsidRPr="0F90D236">
              <w:rPr>
                <w:rFonts w:cs="Calibri"/>
                <w:b/>
                <w:bCs/>
              </w:rPr>
              <w:t xml:space="preserve">valuation </w:t>
            </w:r>
            <w:r w:rsidR="00CC2D8A">
              <w:rPr>
                <w:rFonts w:cs="Calibri"/>
                <w:b/>
                <w:bCs/>
              </w:rPr>
              <w:t>c</w:t>
            </w:r>
            <w:r w:rsidR="00CC2D8A" w:rsidRPr="0F90D236">
              <w:rPr>
                <w:rFonts w:cs="Calibri"/>
                <w:b/>
                <w:bCs/>
              </w:rPr>
              <w:t xml:space="preserve">ommittee </w:t>
            </w:r>
            <w:r w:rsidRPr="0F90D236">
              <w:rPr>
                <w:rFonts w:cs="Calibri"/>
                <w:b/>
                <w:bCs/>
              </w:rPr>
              <w:t xml:space="preserve">and/or the </w:t>
            </w:r>
            <w:r w:rsidR="00803973">
              <w:rPr>
                <w:rFonts w:cs="Calibri"/>
                <w:b/>
                <w:bCs/>
              </w:rPr>
              <w:t>c</w:t>
            </w:r>
            <w:r w:rsidRPr="0F90D236">
              <w:rPr>
                <w:rFonts w:cs="Calibri"/>
                <w:b/>
                <w:bCs/>
              </w:rPr>
              <w:t xml:space="preserve">ontracting </w:t>
            </w:r>
            <w:r w:rsidR="00803973">
              <w:rPr>
                <w:rFonts w:cs="Calibri"/>
                <w:b/>
                <w:bCs/>
              </w:rPr>
              <w:t>a</w:t>
            </w:r>
            <w:r w:rsidRPr="0F90D236">
              <w:rPr>
                <w:rFonts w:cs="Calibri"/>
                <w:b/>
                <w:bCs/>
              </w:rPr>
              <w:t>uthority.</w:t>
            </w:r>
          </w:p>
        </w:tc>
      </w:tr>
    </w:tbl>
    <w:p w14:paraId="55EA0DDF" w14:textId="77777777" w:rsidR="004636A3" w:rsidRPr="003C5D33" w:rsidRDefault="004636A3" w:rsidP="003C5D33">
      <w:pPr>
        <w:spacing w:after="0"/>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3C5D33" w:rsidRPr="003C5D33" w14:paraId="4D8F6EBD" w14:textId="77777777" w:rsidTr="0F90D236">
        <w:tc>
          <w:tcPr>
            <w:tcW w:w="9746" w:type="dxa"/>
            <w:shd w:val="clear" w:color="auto" w:fill="auto"/>
          </w:tcPr>
          <w:p w14:paraId="43A5FEB4" w14:textId="185A0A9A" w:rsidR="003C5D33" w:rsidRPr="003C5D33" w:rsidRDefault="0F90D236" w:rsidP="0F90D236">
            <w:pPr>
              <w:spacing w:before="60" w:after="0"/>
              <w:jc w:val="center"/>
              <w:rPr>
                <w:b/>
                <w:bCs/>
              </w:rPr>
            </w:pPr>
            <w:r w:rsidRPr="0F90D236">
              <w:rPr>
                <w:b/>
                <w:bCs/>
              </w:rPr>
              <w:t xml:space="preserve">IMPORTANT NOTE </w:t>
            </w:r>
            <w:r w:rsidR="00E907F0">
              <w:rPr>
                <w:b/>
                <w:bCs/>
              </w:rPr>
              <w:t>-</w:t>
            </w:r>
            <w:r w:rsidR="00E907F0" w:rsidRPr="0F90D236">
              <w:rPr>
                <w:b/>
                <w:bCs/>
              </w:rPr>
              <w:t xml:space="preserve"> </w:t>
            </w:r>
            <w:r w:rsidRPr="0F90D236">
              <w:rPr>
                <w:b/>
                <w:bCs/>
              </w:rPr>
              <w:t>3</w:t>
            </w:r>
          </w:p>
          <w:p w14:paraId="3A818D64" w14:textId="306C0180" w:rsidR="000B44BF" w:rsidRPr="003C5D33" w:rsidRDefault="0F90D236" w:rsidP="0F90D236">
            <w:pPr>
              <w:spacing w:before="60" w:after="0"/>
              <w:rPr>
                <w:b/>
                <w:bCs/>
              </w:rPr>
            </w:pPr>
            <w:r w:rsidRPr="0F90D236">
              <w:rPr>
                <w:b/>
                <w:bCs/>
              </w:rPr>
              <w:t>All publications developed/published in scope of the actions must be in both lead applicant’s and co-applicant(s)’s language(s) except duly justified cases where it is not necessary.</w:t>
            </w:r>
          </w:p>
          <w:p w14:paraId="1E028039" w14:textId="7252CA3C" w:rsidR="004A2056" w:rsidRDefault="007D1D4D" w:rsidP="00D116CD">
            <w:pPr>
              <w:spacing w:before="60" w:after="60"/>
              <w:rPr>
                <w:b/>
                <w:bCs/>
              </w:rPr>
            </w:pPr>
            <w:r>
              <w:rPr>
                <w:b/>
                <w:bCs/>
              </w:rPr>
              <w:t>It is recommended that a</w:t>
            </w:r>
            <w:r w:rsidR="0F90D236" w:rsidRPr="0F90D236">
              <w:rPr>
                <w:b/>
                <w:bCs/>
              </w:rPr>
              <w:t xml:space="preserve">ll projects </w:t>
            </w:r>
            <w:r w:rsidR="00D116CD">
              <w:rPr>
                <w:b/>
                <w:bCs/>
              </w:rPr>
              <w:t xml:space="preserve">respect the </w:t>
            </w:r>
            <w:r w:rsidR="0F90D236" w:rsidRPr="0F90D236">
              <w:rPr>
                <w:b/>
                <w:bCs/>
              </w:rPr>
              <w:t>gender equality and equal opportunities</w:t>
            </w:r>
            <w:r w:rsidR="00B6258B">
              <w:rPr>
                <w:b/>
                <w:bCs/>
              </w:rPr>
              <w:t>,</w:t>
            </w:r>
            <w:r w:rsidR="0F90D236" w:rsidRPr="0F90D236">
              <w:rPr>
                <w:b/>
                <w:bCs/>
              </w:rPr>
              <w:t xml:space="preserve"> integrat</w:t>
            </w:r>
            <w:r w:rsidR="00B6258B">
              <w:rPr>
                <w:b/>
                <w:bCs/>
              </w:rPr>
              <w:t>ion of</w:t>
            </w:r>
            <w:r w:rsidR="0F90D236" w:rsidRPr="0F90D236">
              <w:rPr>
                <w:b/>
                <w:bCs/>
              </w:rPr>
              <w:t xml:space="preserve"> environment</w:t>
            </w:r>
            <w:r>
              <w:rPr>
                <w:b/>
                <w:bCs/>
              </w:rPr>
              <w:t>al</w:t>
            </w:r>
            <w:r w:rsidR="004E544E">
              <w:rPr>
                <w:b/>
                <w:bCs/>
              </w:rPr>
              <w:t>ly</w:t>
            </w:r>
            <w:r w:rsidR="0F90D236" w:rsidRPr="0F90D236">
              <w:rPr>
                <w:b/>
                <w:bCs/>
              </w:rPr>
              <w:t xml:space="preserve"> </w:t>
            </w:r>
            <w:r w:rsidR="00D116CD">
              <w:rPr>
                <w:b/>
                <w:bCs/>
              </w:rPr>
              <w:t xml:space="preserve">friendly practices </w:t>
            </w:r>
            <w:r w:rsidR="0F90D236" w:rsidRPr="0F90D236">
              <w:rPr>
                <w:b/>
                <w:bCs/>
              </w:rPr>
              <w:t xml:space="preserve">and climate change perspective in </w:t>
            </w:r>
            <w:r>
              <w:rPr>
                <w:b/>
                <w:bCs/>
              </w:rPr>
              <w:t xml:space="preserve">the </w:t>
            </w:r>
            <w:r w:rsidR="0F90D236" w:rsidRPr="0F90D236">
              <w:rPr>
                <w:b/>
                <w:bCs/>
              </w:rPr>
              <w:t xml:space="preserve">project activities. </w:t>
            </w:r>
          </w:p>
          <w:p w14:paraId="0B837796" w14:textId="2ED20546" w:rsidR="003C5D33" w:rsidRPr="000B44BF" w:rsidRDefault="007D1D4D" w:rsidP="00C03866">
            <w:pPr>
              <w:spacing w:before="60" w:after="60"/>
              <w:rPr>
                <w:b/>
                <w:bCs/>
              </w:rPr>
            </w:pPr>
            <w:r>
              <w:rPr>
                <w:b/>
                <w:bCs/>
              </w:rPr>
              <w:t>It is recommended that a</w:t>
            </w:r>
            <w:r w:rsidR="0F90D236" w:rsidRPr="0F90D236">
              <w:rPr>
                <w:b/>
                <w:bCs/>
              </w:rPr>
              <w:t>ll projects promote</w:t>
            </w:r>
            <w:r w:rsidR="00D37D4B">
              <w:rPr>
                <w:b/>
                <w:bCs/>
              </w:rPr>
              <w:t xml:space="preserve"> and </w:t>
            </w:r>
            <w:r w:rsidR="00F17DFE">
              <w:rPr>
                <w:b/>
                <w:bCs/>
              </w:rPr>
              <w:t xml:space="preserve">have </w:t>
            </w:r>
            <w:r w:rsidR="00D37D4B">
              <w:rPr>
                <w:b/>
                <w:bCs/>
              </w:rPr>
              <w:t>advance</w:t>
            </w:r>
            <w:r w:rsidR="00F17DFE">
              <w:rPr>
                <w:b/>
                <w:bCs/>
              </w:rPr>
              <w:t>d</w:t>
            </w:r>
            <w:r w:rsidR="0F90D236" w:rsidRPr="0F90D236">
              <w:rPr>
                <w:b/>
                <w:bCs/>
              </w:rPr>
              <w:t xml:space="preserve"> inclusion and participation, non-discrimination, equality, transparency and accountability in all sense.</w:t>
            </w:r>
          </w:p>
        </w:tc>
      </w:tr>
    </w:tbl>
    <w:p w14:paraId="57F9DFA5" w14:textId="20918F68" w:rsidR="0023018A" w:rsidRPr="00807DAF" w:rsidRDefault="00266BD4" w:rsidP="0F90D236">
      <w:pPr>
        <w:spacing w:before="120" w:after="0"/>
        <w:rPr>
          <w:u w:val="single"/>
        </w:rPr>
      </w:pPr>
      <w:r w:rsidRPr="0F90D236">
        <w:rPr>
          <w:u w:val="single"/>
        </w:rPr>
        <w:t>Financial support to third parties</w:t>
      </w:r>
      <w:r w:rsidR="00DB06F5" w:rsidRPr="0F90D236">
        <w:rPr>
          <w:rStyle w:val="FootnoteReference"/>
          <w:u w:val="single"/>
        </w:rPr>
        <w:footnoteReference w:id="10"/>
      </w:r>
      <w:r w:rsidR="0023018A" w:rsidRPr="0F90D236">
        <w:rPr>
          <w:u w:val="single"/>
        </w:rPr>
        <w:t xml:space="preserve"> </w:t>
      </w:r>
    </w:p>
    <w:p w14:paraId="28059C07" w14:textId="1E65D296" w:rsidR="007E1BE2" w:rsidRPr="00807DAF" w:rsidRDefault="0F90D236" w:rsidP="003A723F">
      <w:pPr>
        <w:spacing w:before="120" w:after="0"/>
      </w:pPr>
      <w:r>
        <w:t xml:space="preserve">Applicants </w:t>
      </w:r>
      <w:r w:rsidRPr="0F90D236">
        <w:rPr>
          <w:b/>
          <w:bCs/>
        </w:rPr>
        <w:t>may not</w:t>
      </w:r>
      <w:r>
        <w:t xml:space="preserve"> propose financial support to third parties.</w:t>
      </w:r>
    </w:p>
    <w:p w14:paraId="3E0D5B0F" w14:textId="77777777" w:rsidR="00107C6D" w:rsidRPr="00807DAF" w:rsidRDefault="0F90D236" w:rsidP="0F90D236">
      <w:pPr>
        <w:keepNext/>
        <w:spacing w:before="120" w:after="0"/>
        <w:rPr>
          <w:u w:val="single"/>
        </w:rPr>
      </w:pPr>
      <w:r w:rsidRPr="0F90D236">
        <w:rPr>
          <w:u w:val="single"/>
        </w:rPr>
        <w:t>Visibility</w:t>
      </w:r>
    </w:p>
    <w:p w14:paraId="0421E294" w14:textId="4A2123B3" w:rsidR="000C55B5" w:rsidRDefault="00622160" w:rsidP="0F90D236">
      <w:pPr>
        <w:spacing w:before="120" w:after="0"/>
        <w:rPr>
          <w:lang w:val="en-IE"/>
        </w:rPr>
      </w:pPr>
      <w:r w:rsidRPr="00807DAF">
        <w:t xml:space="preserve">The </w:t>
      </w:r>
      <w:r w:rsidR="003B254C">
        <w:t>a</w:t>
      </w:r>
      <w:r w:rsidRPr="00807DAF">
        <w:t xml:space="preserve">pplicants must take all necessary steps to publicise the fact that the European Union has financed or co-financed the </w:t>
      </w:r>
      <w:r w:rsidR="00466C25">
        <w:t>a</w:t>
      </w:r>
      <w:r w:rsidRPr="00807DAF">
        <w:t xml:space="preserve">ction. </w:t>
      </w:r>
      <w:r w:rsidR="000C55B5" w:rsidRPr="00FA0527">
        <w:rPr>
          <w:snapToGrid/>
          <w:lang w:val="en-IE"/>
        </w:rPr>
        <w:t>Unless the European Commission agrees otherwise, actions that are wholly or partially funded by the European Union must ensure the visibility of EU financing by displaying the EU emblem in accordance with the guidelines set out in the Operational guidelines for recipients of EU funding, published by t</w:t>
      </w:r>
      <w:r w:rsidR="0027166C">
        <w:rPr>
          <w:snapToGrid/>
          <w:lang w:val="en-IE"/>
        </w:rPr>
        <w:t>he European Commission</w:t>
      </w:r>
      <w:r w:rsidR="000C55B5" w:rsidRPr="00FA0527">
        <w:rPr>
          <w:snapToGrid/>
          <w:lang w:val="en-IE"/>
        </w:rPr>
        <w:t xml:space="preserve">. </w:t>
      </w:r>
      <w:r w:rsidR="000C55B5" w:rsidRPr="00AB22E1">
        <w:rPr>
          <w:snapToGrid/>
          <w:lang w:val="en-IE"/>
        </w:rPr>
        <w:t xml:space="preserve">If applicable, communication activities may be undertaken to raise the awareness of specific or general audiences of the reasons for the action and the EU support for the action in the country or region concerned, as well as the results and the impact of this support. </w:t>
      </w:r>
    </w:p>
    <w:p w14:paraId="6CCD41E9" w14:textId="69DE7F6B" w:rsidR="00300236" w:rsidRPr="000A257B" w:rsidRDefault="000C55B5" w:rsidP="00A71B87">
      <w:pPr>
        <w:spacing w:before="120" w:after="0"/>
      </w:pPr>
      <w:r w:rsidRPr="00FA0527">
        <w:rPr>
          <w:snapToGrid/>
          <w:lang w:val="en-IE"/>
        </w:rPr>
        <w:t xml:space="preserve">All measures and activities relating to visibility and, if applicable, communication, must </w:t>
      </w:r>
      <w:r>
        <w:rPr>
          <w:snapToGrid/>
          <w:lang w:val="en-IE"/>
        </w:rPr>
        <w:t>comply</w:t>
      </w:r>
      <w:r w:rsidRPr="00FA0527">
        <w:rPr>
          <w:snapToGrid/>
          <w:lang w:val="en-IE"/>
        </w:rPr>
        <w:t xml:space="preserve"> with the latest Communication and Visibility Requirements</w:t>
      </w:r>
      <w:r w:rsidR="0027166C">
        <w:rPr>
          <w:snapToGrid/>
          <w:lang w:val="en-IE"/>
        </w:rPr>
        <w:t xml:space="preserve"> for EU-funded external action,</w:t>
      </w:r>
      <w:r w:rsidRPr="00FA0527">
        <w:rPr>
          <w:snapToGrid/>
          <w:lang w:val="en-IE"/>
        </w:rPr>
        <w:t xml:space="preserve"> laid down and published by t</w:t>
      </w:r>
      <w:r w:rsidR="0027166C">
        <w:rPr>
          <w:snapToGrid/>
          <w:lang w:val="en-IE"/>
        </w:rPr>
        <w:t xml:space="preserve">he </w:t>
      </w:r>
      <w:r w:rsidR="0027166C">
        <w:rPr>
          <w:snapToGrid/>
          <w:lang w:val="en-IE"/>
        </w:rPr>
        <w:lastRenderedPageBreak/>
        <w:t xml:space="preserve">European </w:t>
      </w:r>
      <w:r w:rsidR="0027166C" w:rsidRPr="000A257B">
        <w:rPr>
          <w:snapToGrid/>
          <w:lang w:val="en-IE"/>
        </w:rPr>
        <w:t>Commission</w:t>
      </w:r>
      <w:r w:rsidR="00353243" w:rsidRPr="000A257B">
        <w:rPr>
          <w:snapToGrid/>
          <w:lang w:val="en-IE"/>
        </w:rPr>
        <w:t xml:space="preserve"> (</w:t>
      </w:r>
      <w:hyperlink r:id="rId23" w:history="1">
        <w:r w:rsidR="00353243" w:rsidRPr="000A257B">
          <w:rPr>
            <w:rStyle w:val="Hyperlink"/>
          </w:rPr>
          <w:t>Communication and Visibility Requirements for EU External Actions International Partnerships (europa.eu)</w:t>
        </w:r>
      </w:hyperlink>
      <w:r w:rsidR="00353243" w:rsidRPr="000A257B">
        <w:t>)</w:t>
      </w:r>
      <w:r w:rsidR="00300236" w:rsidRPr="000A257B">
        <w:rPr>
          <w:snapToGrid/>
          <w:lang w:val="en-IE"/>
        </w:rPr>
        <w:t>,</w:t>
      </w:r>
      <w:r w:rsidR="00632FB5" w:rsidRPr="000A257B">
        <w:t xml:space="preserve"> </w:t>
      </w:r>
      <w:r w:rsidR="00300236" w:rsidRPr="000A257B">
        <w:rPr>
          <w:snapToGrid/>
        </w:rPr>
        <w:t>c</w:t>
      </w:r>
      <w:r w:rsidR="001814A4" w:rsidRPr="000A257B">
        <w:t>omplemented</w:t>
      </w:r>
      <w:r w:rsidR="00632FB5" w:rsidRPr="000A257B">
        <w:t xml:space="preserve"> by the visibility guidelines of the Delegation of the European Union to </w:t>
      </w:r>
      <w:r w:rsidR="007F53D5" w:rsidRPr="000A257B">
        <w:t xml:space="preserve">Türkiye </w:t>
      </w:r>
      <w:r w:rsidR="00632FB5" w:rsidRPr="000A257B">
        <w:t>at:</w:t>
      </w:r>
      <w:r w:rsidR="000F5F93" w:rsidRPr="000A257B">
        <w:t xml:space="preserve"> </w:t>
      </w:r>
      <w:hyperlink r:id="rId24" w:history="1">
        <w:r w:rsidR="000F5F93" w:rsidRPr="000A257B">
          <w:rPr>
            <w:rStyle w:val="Hyperlink"/>
          </w:rPr>
          <w:t>https://www.eeas.europa.eu/delegations/türkiye/visibility-guidelines-clarification-2022-guidelines-communicating-and-raising_en</w:t>
        </w:r>
      </w:hyperlink>
    </w:p>
    <w:p w14:paraId="01549DBC" w14:textId="10282B8D" w:rsidR="0007408E" w:rsidRDefault="0F90D236" w:rsidP="00A71B87">
      <w:pPr>
        <w:spacing w:before="120" w:after="0"/>
        <w:rPr>
          <w:u w:val="single"/>
        </w:rPr>
      </w:pPr>
      <w:r w:rsidRPr="000A257B">
        <w:rPr>
          <w:u w:val="single"/>
        </w:rPr>
        <w:t>Number of applications and grants per applicants</w:t>
      </w:r>
      <w:r w:rsidR="00CC2D8A">
        <w:rPr>
          <w:u w:val="single"/>
        </w:rPr>
        <w:t xml:space="preserve"> / affiliated entities</w:t>
      </w:r>
      <w:r w:rsidRPr="0F90D236">
        <w:rPr>
          <w:u w:val="single"/>
        </w:rPr>
        <w:t xml:space="preserve"> </w:t>
      </w:r>
    </w:p>
    <w:p w14:paraId="70FD339E" w14:textId="0A5A53C4" w:rsidR="00F0509E" w:rsidRPr="0089492C" w:rsidRDefault="0F90D236" w:rsidP="003A723F">
      <w:pPr>
        <w:spacing w:before="120" w:after="0"/>
      </w:pPr>
      <w:r w:rsidRPr="0089492C">
        <w:t xml:space="preserve">The lead applicant </w:t>
      </w:r>
      <w:r w:rsidRPr="0089492C">
        <w:rPr>
          <w:b/>
          <w:bCs/>
        </w:rPr>
        <w:t>may not submit more than one application as a lead applicant</w:t>
      </w:r>
      <w:r w:rsidRPr="0089492C">
        <w:t xml:space="preserve"> under this call for proposals.</w:t>
      </w:r>
    </w:p>
    <w:p w14:paraId="3CB22AEF" w14:textId="5437B222" w:rsidR="00F0509E" w:rsidRPr="0089492C" w:rsidRDefault="0F90D236" w:rsidP="003A723F">
      <w:pPr>
        <w:spacing w:before="120" w:after="0"/>
      </w:pPr>
      <w:r w:rsidRPr="0089492C">
        <w:t xml:space="preserve">The lead applicant may be a </w:t>
      </w:r>
      <w:r w:rsidRPr="0089492C">
        <w:rPr>
          <w:b/>
          <w:bCs/>
        </w:rPr>
        <w:t>co-applicant</w:t>
      </w:r>
      <w:r w:rsidRPr="0089492C">
        <w:t xml:space="preserve"> </w:t>
      </w:r>
      <w:r w:rsidR="00CC2D8A" w:rsidRPr="0089492C">
        <w:t xml:space="preserve">or </w:t>
      </w:r>
      <w:r w:rsidR="00CC2D8A" w:rsidRPr="0089492C">
        <w:rPr>
          <w:b/>
        </w:rPr>
        <w:t>an affiliated entity</w:t>
      </w:r>
      <w:r w:rsidR="00CC2D8A" w:rsidRPr="0089492C">
        <w:t xml:space="preserve"> </w:t>
      </w:r>
      <w:r w:rsidRPr="0089492C">
        <w:t xml:space="preserve">in </w:t>
      </w:r>
      <w:r w:rsidRPr="0089492C">
        <w:rPr>
          <w:b/>
          <w:bCs/>
        </w:rPr>
        <w:t>only one application</w:t>
      </w:r>
      <w:r w:rsidRPr="0089492C">
        <w:t xml:space="preserve"> at the same time. </w:t>
      </w:r>
    </w:p>
    <w:p w14:paraId="27B281E9" w14:textId="60498CA0" w:rsidR="000F5F93" w:rsidRPr="0089492C" w:rsidRDefault="0F90D236" w:rsidP="000F5F93">
      <w:pPr>
        <w:spacing w:before="120" w:after="0"/>
      </w:pPr>
      <w:r w:rsidRPr="0089492C">
        <w:t xml:space="preserve">The lead applicant may be awarded </w:t>
      </w:r>
      <w:r w:rsidRPr="0089492C">
        <w:rPr>
          <w:b/>
          <w:bCs/>
        </w:rPr>
        <w:t>two grants</w:t>
      </w:r>
      <w:r w:rsidRPr="0089492C">
        <w:t xml:space="preserve"> – </w:t>
      </w:r>
      <w:r w:rsidRPr="0089492C">
        <w:rPr>
          <w:b/>
          <w:bCs/>
        </w:rPr>
        <w:t>one</w:t>
      </w:r>
      <w:r w:rsidRPr="0089492C">
        <w:t xml:space="preserve"> as a lead applicant and </w:t>
      </w:r>
      <w:r w:rsidRPr="0089492C">
        <w:rPr>
          <w:b/>
          <w:bCs/>
        </w:rPr>
        <w:t>one</w:t>
      </w:r>
      <w:r w:rsidRPr="0089492C">
        <w:t xml:space="preserve"> as a co-applicant </w:t>
      </w:r>
      <w:r w:rsidR="00CC2D8A" w:rsidRPr="0089492C">
        <w:t xml:space="preserve">or affiliated entity </w:t>
      </w:r>
      <w:r w:rsidRPr="0089492C">
        <w:t>under this call for proposals.</w:t>
      </w:r>
    </w:p>
    <w:p w14:paraId="1A25FA74" w14:textId="7F68531D" w:rsidR="00F0509E" w:rsidRPr="0089492C" w:rsidRDefault="0F90D236" w:rsidP="003A723F">
      <w:pPr>
        <w:spacing w:before="120" w:after="0"/>
      </w:pPr>
      <w:r w:rsidRPr="0089492C">
        <w:t>A co-applicant</w:t>
      </w:r>
      <w:r w:rsidR="00CC2D8A" w:rsidRPr="0089492C">
        <w:t>/affiliated entity</w:t>
      </w:r>
      <w:r w:rsidRPr="0089492C">
        <w:t xml:space="preserve"> </w:t>
      </w:r>
      <w:r w:rsidRPr="0089492C">
        <w:rPr>
          <w:b/>
          <w:bCs/>
        </w:rPr>
        <w:t>may not</w:t>
      </w:r>
      <w:r w:rsidRPr="0089492C">
        <w:t xml:space="preserve"> be the co-applicant </w:t>
      </w:r>
      <w:r w:rsidR="00CC2D8A" w:rsidRPr="0089492C">
        <w:t xml:space="preserve">or affiliated entity </w:t>
      </w:r>
      <w:r w:rsidRPr="0089492C">
        <w:t xml:space="preserve">in </w:t>
      </w:r>
      <w:r w:rsidRPr="0089492C">
        <w:rPr>
          <w:b/>
          <w:bCs/>
        </w:rPr>
        <w:t>more than two application(s)</w:t>
      </w:r>
      <w:r w:rsidRPr="0089492C">
        <w:t xml:space="preserve"> under this call for proposals.</w:t>
      </w:r>
    </w:p>
    <w:p w14:paraId="7820C465" w14:textId="7CE8E7E3" w:rsidR="000F5F93" w:rsidRPr="00487775" w:rsidRDefault="0F90D236" w:rsidP="003A723F">
      <w:pPr>
        <w:spacing w:before="120" w:after="0"/>
      </w:pPr>
      <w:r w:rsidRPr="0089492C">
        <w:t>A co-applicant</w:t>
      </w:r>
      <w:r w:rsidR="00CC2D8A" w:rsidRPr="0089492C">
        <w:t>/affiliated entity</w:t>
      </w:r>
      <w:r w:rsidRPr="0089492C">
        <w:t xml:space="preserve"> </w:t>
      </w:r>
      <w:r w:rsidRPr="0089492C">
        <w:rPr>
          <w:b/>
          <w:bCs/>
        </w:rPr>
        <w:t>may</w:t>
      </w:r>
      <w:r w:rsidRPr="0089492C">
        <w:t xml:space="preserve"> be awarded </w:t>
      </w:r>
      <w:r w:rsidRPr="0089492C">
        <w:rPr>
          <w:b/>
          <w:bCs/>
        </w:rPr>
        <w:t>two grants</w:t>
      </w:r>
      <w:r w:rsidRPr="0089492C">
        <w:t xml:space="preserve"> – </w:t>
      </w:r>
      <w:r w:rsidRPr="0089492C">
        <w:rPr>
          <w:b/>
          <w:bCs/>
        </w:rPr>
        <w:t>one</w:t>
      </w:r>
      <w:r w:rsidRPr="0089492C">
        <w:t xml:space="preserve"> as a lead applicant and </w:t>
      </w:r>
      <w:r w:rsidRPr="0089492C">
        <w:rPr>
          <w:b/>
          <w:bCs/>
        </w:rPr>
        <w:t>one</w:t>
      </w:r>
      <w:r w:rsidRPr="0089492C">
        <w:t xml:space="preserve"> as a co-applicant</w:t>
      </w:r>
      <w:r w:rsidR="00CC2D8A" w:rsidRPr="0089492C">
        <w:t xml:space="preserve"> or affiliated entity</w:t>
      </w:r>
      <w:r w:rsidRPr="0089492C">
        <w:rPr>
          <w:b/>
          <w:bCs/>
        </w:rPr>
        <w:t xml:space="preserve"> OR both </w:t>
      </w:r>
      <w:r w:rsidRPr="0089492C">
        <w:t>as a co-applicant</w:t>
      </w:r>
      <w:r w:rsidR="00CC2D8A" w:rsidRPr="0089492C">
        <w:t xml:space="preserve"> or affiliated entity</w:t>
      </w:r>
      <w:r w:rsidRPr="0089492C">
        <w:t>.</w:t>
      </w:r>
    </w:p>
    <w:p w14:paraId="2CD370BF" w14:textId="0A205A4C" w:rsidR="00AA63FF" w:rsidRPr="00004EAB" w:rsidRDefault="0F90D236" w:rsidP="003A723F">
      <w:pPr>
        <w:spacing w:before="120" w:after="0"/>
      </w:pPr>
      <w:r w:rsidRPr="00004EAB">
        <w:t xml:space="preserve">Violation of these requirements may result in the </w:t>
      </w:r>
      <w:r w:rsidRPr="00004EAB">
        <w:rPr>
          <w:b/>
          <w:bCs/>
        </w:rPr>
        <w:t>elimination of all applications</w:t>
      </w:r>
      <w:r w:rsidRPr="00004EAB">
        <w:t xml:space="preserve"> submitted/participated by the same entity. Therefore, lead applicants are strongly recommended to make sure that they and their co-applicants comply with these requirements.</w:t>
      </w:r>
    </w:p>
    <w:p w14:paraId="3E05EFA2" w14:textId="5EE237A3" w:rsidR="00F0509E" w:rsidRDefault="0F90D236" w:rsidP="003A723F">
      <w:pPr>
        <w:spacing w:before="120" w:after="0"/>
      </w:pPr>
      <w:r w:rsidRPr="00004EAB">
        <w:t xml:space="preserve">If an entity participates in two projects, they should </w:t>
      </w:r>
      <w:proofErr w:type="gramStart"/>
      <w:r w:rsidRPr="00004EAB">
        <w:t>take into account</w:t>
      </w:r>
      <w:proofErr w:type="gramEnd"/>
      <w:r w:rsidRPr="00004EAB">
        <w:t xml:space="preserve"> their managerial and technical capacities. Level of involvement and participation of each entity in the projects and their technical and managerial capacities will be assessed during the evaluation process.</w:t>
      </w:r>
    </w:p>
    <w:p w14:paraId="4E4BEE50" w14:textId="4565AA4C" w:rsidR="0007408E" w:rsidRPr="00807DAF" w:rsidRDefault="0F90D236" w:rsidP="00A47D20">
      <w:pPr>
        <w:pStyle w:val="Guidelines3"/>
        <w:numPr>
          <w:ilvl w:val="2"/>
          <w:numId w:val="68"/>
        </w:numPr>
        <w:outlineLvl w:val="2"/>
      </w:pPr>
      <w:bookmarkStart w:id="25" w:name="_Toc144385096"/>
      <w:bookmarkStart w:id="26" w:name="_Toc144385103"/>
      <w:bookmarkStart w:id="27" w:name="_Toc145057269"/>
      <w:bookmarkEnd w:id="25"/>
      <w:bookmarkEnd w:id="26"/>
      <w:r>
        <w:t>Eligibility of costs: costs that can be included</w:t>
      </w:r>
      <w:bookmarkEnd w:id="27"/>
      <w:r>
        <w:t xml:space="preserve"> </w:t>
      </w:r>
    </w:p>
    <w:p w14:paraId="3C55D6B6" w14:textId="0E3D10E3" w:rsidR="00B17D2F" w:rsidRDefault="0F90D236" w:rsidP="003A723F">
      <w:pPr>
        <w:spacing w:before="120" w:after="0"/>
      </w:pPr>
      <w:r>
        <w:t>Union contributions under this call for proposals take the following form:</w:t>
      </w:r>
    </w:p>
    <w:p w14:paraId="139E50E9" w14:textId="77777777" w:rsidR="00E90E7B" w:rsidRPr="00807DAF" w:rsidRDefault="0F90D236" w:rsidP="003A723F">
      <w:pPr>
        <w:spacing w:before="120" w:after="0"/>
      </w:pPr>
      <w:r>
        <w:t>- Reimbursement of eligible costs that may be based on any or a combination of the following forms:</w:t>
      </w:r>
    </w:p>
    <w:p w14:paraId="3B92AD85" w14:textId="0B66A086" w:rsidR="00463413" w:rsidRPr="00DC4CD8" w:rsidRDefault="0783902A" w:rsidP="003A723F">
      <w:pPr>
        <w:spacing w:before="120" w:after="0"/>
        <w:ind w:left="720"/>
      </w:pPr>
      <w:r>
        <w:t>(</w:t>
      </w:r>
      <w:proofErr w:type="spellStart"/>
      <w:r>
        <w:t>i</w:t>
      </w:r>
      <w:proofErr w:type="spellEnd"/>
      <w:r>
        <w:t>) actual costs incurred by the beneficiaries</w:t>
      </w:r>
      <w:r w:rsidR="004D40BE" w:rsidRPr="004D40BE">
        <w:t xml:space="preserve"> </w:t>
      </w:r>
      <w:r w:rsidR="004D40BE" w:rsidRPr="00DC4CD8">
        <w:t>and affiliated entity(</w:t>
      </w:r>
      <w:proofErr w:type="spellStart"/>
      <w:r w:rsidR="004D40BE" w:rsidRPr="00DC4CD8">
        <w:t>ies</w:t>
      </w:r>
      <w:proofErr w:type="spellEnd"/>
      <w:r w:rsidR="004D40BE" w:rsidRPr="00DC4CD8">
        <w:t>)</w:t>
      </w:r>
      <w:r>
        <w:t>;</w:t>
      </w:r>
    </w:p>
    <w:p w14:paraId="0517ADF9" w14:textId="77777777" w:rsidR="00E90E7B" w:rsidRDefault="0F90D236" w:rsidP="003A723F">
      <w:pPr>
        <w:spacing w:before="120" w:after="0"/>
        <w:ind w:left="720"/>
      </w:pPr>
      <w:r>
        <w:t>(ii) one or more simplified cost options (see below).</w:t>
      </w:r>
    </w:p>
    <w:p w14:paraId="7879D716" w14:textId="77777777" w:rsidR="00E90E7B" w:rsidRPr="00807DAF" w:rsidRDefault="0F90D236" w:rsidP="003A723F">
      <w:pPr>
        <w:spacing w:before="120" w:after="0"/>
        <w:ind w:left="360"/>
      </w:pPr>
      <w:r>
        <w:t xml:space="preserve">Only ‘eligible costs’ can be covered by a grant. The categories of costs that are eligible and non-eligible are indicated below. The budget is both a cost estimate and an overall ceiling for ‘eligible </w:t>
      </w:r>
      <w:proofErr w:type="gramStart"/>
      <w:r>
        <w:t>costs’</w:t>
      </w:r>
      <w:proofErr w:type="gramEnd"/>
      <w:r>
        <w:t xml:space="preserve">. </w:t>
      </w:r>
    </w:p>
    <w:p w14:paraId="753D5895" w14:textId="77777777" w:rsidR="00BF7060" w:rsidRPr="000C4276" w:rsidRDefault="0F90D236" w:rsidP="0F90D236">
      <w:pPr>
        <w:spacing w:before="120" w:after="0"/>
        <w:rPr>
          <w:b/>
          <w:bCs/>
        </w:rPr>
      </w:pPr>
      <w:r>
        <w:t>Simplified cost options (SCOs) may take the form of:</w:t>
      </w:r>
    </w:p>
    <w:p w14:paraId="4D7C340E" w14:textId="77777777" w:rsidR="00BF7060" w:rsidRPr="000C4276" w:rsidRDefault="0F90D236" w:rsidP="003A723F">
      <w:pPr>
        <w:numPr>
          <w:ilvl w:val="0"/>
          <w:numId w:val="16"/>
        </w:numPr>
        <w:spacing w:before="120" w:after="0"/>
      </w:pPr>
      <w:r w:rsidRPr="0F90D236">
        <w:rPr>
          <w:b/>
          <w:bCs/>
        </w:rPr>
        <w:t>unit costs:</w:t>
      </w:r>
      <w:r>
        <w:t xml:space="preserve"> covering all or certain specific categories of eligible costs which are clearly identified in advance by reference to an </w:t>
      </w:r>
      <w:r w:rsidRPr="0F90D236">
        <w:rPr>
          <w:u w:val="single"/>
        </w:rPr>
        <w:t>amount per unit</w:t>
      </w:r>
      <w:r>
        <w:t>.</w:t>
      </w:r>
    </w:p>
    <w:p w14:paraId="30E5D487" w14:textId="77777777" w:rsidR="00BF7060" w:rsidRPr="000C4276" w:rsidRDefault="0F90D236" w:rsidP="003A723F">
      <w:pPr>
        <w:numPr>
          <w:ilvl w:val="0"/>
          <w:numId w:val="16"/>
        </w:numPr>
        <w:spacing w:before="120" w:after="0"/>
      </w:pPr>
      <w:r w:rsidRPr="0F90D236">
        <w:rPr>
          <w:b/>
          <w:bCs/>
        </w:rPr>
        <w:t xml:space="preserve">lump sums: </w:t>
      </w:r>
      <w:r>
        <w:t xml:space="preserve">covering in </w:t>
      </w:r>
      <w:r w:rsidRPr="0F90D236">
        <w:rPr>
          <w:u w:val="single"/>
        </w:rPr>
        <w:t>global terms</w:t>
      </w:r>
      <w:r>
        <w:t xml:space="preserve"> all or certain specific categories of eligible costs which are clearly identified in advance.</w:t>
      </w:r>
    </w:p>
    <w:p w14:paraId="7C1717E8" w14:textId="77777777" w:rsidR="006A03A6" w:rsidRPr="000C4276" w:rsidRDefault="0F90D236" w:rsidP="003A723F">
      <w:pPr>
        <w:numPr>
          <w:ilvl w:val="0"/>
          <w:numId w:val="16"/>
        </w:numPr>
        <w:spacing w:before="120" w:after="0"/>
      </w:pPr>
      <w:r w:rsidRPr="0F90D236">
        <w:rPr>
          <w:b/>
          <w:bCs/>
        </w:rPr>
        <w:t xml:space="preserve">flat-rate financing: </w:t>
      </w:r>
      <w:r>
        <w:t xml:space="preserve">covering specific categories of eligible costs which are clearly identified in advance by </w:t>
      </w:r>
      <w:r w:rsidRPr="0F90D236">
        <w:rPr>
          <w:u w:val="single"/>
        </w:rPr>
        <w:t>applying a percentage</w:t>
      </w:r>
      <w:r>
        <w:t xml:space="preserve"> fixed ex ante. This form is not applicable to output or result based SCOs.</w:t>
      </w:r>
    </w:p>
    <w:p w14:paraId="1CFD0975" w14:textId="4FC7A92C" w:rsidR="00BF7060" w:rsidRPr="000C4276" w:rsidRDefault="0F90D236" w:rsidP="003A723F">
      <w:pPr>
        <w:spacing w:before="120" w:after="0"/>
      </w:pPr>
      <w:r>
        <w:t>Simplified costs options which can be proposed are the following:</w:t>
      </w:r>
    </w:p>
    <w:p w14:paraId="32608FD1" w14:textId="2CA05602" w:rsidR="00BF7060" w:rsidRPr="000C4276" w:rsidRDefault="0F90D236" w:rsidP="003A723F">
      <w:pPr>
        <w:spacing w:before="120" w:after="0"/>
      </w:pPr>
      <w:r>
        <w:t>"output or result based SCOs": they include costs linked to outputs, results, activities, deliverables in the framework of a specific project (for example the determination of a lump sum for the organization of a conference, or for the realisation of a determined output/activity). Where possible and appropriate, lump sums or unit costs shall be determined in such a way to allow their payment upon achievement of concrete outputs and/or results. This type of SCO can be proposed by the beneficiary (no threshold is applicable) at proposal's stage (Grant application form – Full application). In case the evaluation committee and the contracting authority are not satisfied with the quality of the justification provided, reimbursement on the basis of actually incurred costs is always possible.</w:t>
      </w:r>
    </w:p>
    <w:p w14:paraId="0F8E074D" w14:textId="326C655A" w:rsidR="00633C06" w:rsidRPr="003743B4" w:rsidRDefault="0F90D236" w:rsidP="003A723F">
      <w:pPr>
        <w:spacing w:before="120" w:after="0"/>
      </w:pPr>
      <w:r>
        <w:t>Please refer to Annex K for the details of the procedure to be followed depending on the type and amount of the costs to be declared as SCO.</w:t>
      </w:r>
    </w:p>
    <w:p w14:paraId="56BAE0A6" w14:textId="71CA3B91" w:rsidR="0080592F" w:rsidRPr="000C4276" w:rsidRDefault="0F90D236" w:rsidP="003A723F">
      <w:pPr>
        <w:spacing w:before="120" w:after="0"/>
      </w:pPr>
      <w:r>
        <w:lastRenderedPageBreak/>
        <w:t xml:space="preserve">Applicants proposing this form of reimbursement, must clearly indicate in worksheet no.1 of Annex B, each heading/item of eligible costs concerned by this type of financing, i.e. add the reference in capital letters to ‘UNIT COST’, ‘LUMPSUM’ in the Unit column (see example in Annex K). </w:t>
      </w:r>
    </w:p>
    <w:p w14:paraId="5A492BAD" w14:textId="765C2A36" w:rsidR="00E47803" w:rsidRPr="000C4276" w:rsidRDefault="0F90D236" w:rsidP="003A723F">
      <w:pPr>
        <w:spacing w:before="120" w:after="0"/>
      </w:pPr>
      <w:r>
        <w:t>Additionally, in Annex B, in the second column of worksheet no.2, ‘Justification of the estimated costs’ per each of the corresponding budget item or heading applicants must:</w:t>
      </w:r>
    </w:p>
    <w:p w14:paraId="441D70DA" w14:textId="48CC5DDE" w:rsidR="00E47803" w:rsidRPr="000C4276" w:rsidRDefault="0F90D236" w:rsidP="003A723F">
      <w:pPr>
        <w:numPr>
          <w:ilvl w:val="0"/>
          <w:numId w:val="17"/>
        </w:numPr>
        <w:spacing w:before="120" w:after="0"/>
      </w:pPr>
      <w:r>
        <w:t>describe the information and methods used to establish the amounts of unit costs and/or lump sums, to which costs they refer, etc. for output or result based SCO;</w:t>
      </w:r>
    </w:p>
    <w:p w14:paraId="387F2F57" w14:textId="10F1C37C" w:rsidR="00E47803" w:rsidRPr="000C4276" w:rsidRDefault="0F90D236" w:rsidP="0F90D236">
      <w:pPr>
        <w:numPr>
          <w:ilvl w:val="0"/>
          <w:numId w:val="17"/>
        </w:numPr>
        <w:spacing w:before="120" w:after="0"/>
      </w:pPr>
      <w:r>
        <w:t>clearly explain the formulas for calculation of the final eligible amount for output or result based SCO.</w:t>
      </w:r>
    </w:p>
    <w:p w14:paraId="1DAC6641" w14:textId="77777777" w:rsidR="006A7D36" w:rsidRPr="000C4276" w:rsidRDefault="0F90D236" w:rsidP="003A723F">
      <w:pPr>
        <w:spacing w:before="120" w:after="0"/>
      </w:pPr>
      <w:r>
        <w:t>Where SCOs are proposed the evaluation committee and the contracting authority decide whether to accept the proposed amounts or rates on the basis of the provisional budget submitted by the applicants, by analysing factual data of grants carried out by the applicants or of similar actions. In case the evaluation committee and the contracting authority are not satisfied with the quality of the justification provided reimbursement on the basis of actually incurred costs is always possible.</w:t>
      </w:r>
    </w:p>
    <w:p w14:paraId="74656100" w14:textId="40BFF1A9" w:rsidR="006A7D36" w:rsidRPr="00807DAF" w:rsidRDefault="0F90D236" w:rsidP="003A723F">
      <w:pPr>
        <w:spacing w:before="120" w:after="0"/>
        <w:rPr>
          <w:szCs w:val="22"/>
        </w:rPr>
      </w:pPr>
      <w:r>
        <w:t xml:space="preserve">No threshold is set ex-ante for the total amount of financing that can be authorised by the contracting authority on the basis of simplified cost options. </w:t>
      </w:r>
    </w:p>
    <w:p w14:paraId="704745E4" w14:textId="77777777" w:rsidR="0007408E" w:rsidRPr="000C4276" w:rsidRDefault="0F90D236" w:rsidP="003A723F">
      <w:pPr>
        <w:spacing w:before="120" w:after="0"/>
      </w:pPr>
      <w:r>
        <w:t>Recommendations to award a grant are always subject to the condition that the checks preceding the signing of the grant contract do not reveal problems requiring changes to the budget (such as arithmetical errors, inaccuracies, unrealistic costs and ineligible costs). The checks may give rise to requests for clarification and may lead the contracting authority to impose modifications or reductions to address such mistakes or inaccuracies. It is not possible to increase the grant or the percentage of EU co-financing as a result of these corrections.</w:t>
      </w:r>
    </w:p>
    <w:p w14:paraId="3BA9D9F7" w14:textId="730B5959" w:rsidR="003639B6" w:rsidRPr="00B45124" w:rsidRDefault="0F90D236" w:rsidP="003A723F">
      <w:pPr>
        <w:spacing w:before="120" w:after="120"/>
      </w:pPr>
      <w:r>
        <w:t xml:space="preserve">It is therefore in the applicants' interest to provide a </w:t>
      </w:r>
      <w:r w:rsidRPr="0F90D236">
        <w:rPr>
          <w:b/>
          <w:bCs/>
        </w:rPr>
        <w:t>realistic and cost-effective budget</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946650" w:rsidRPr="00BF158E" w14:paraId="236E47F7" w14:textId="77777777" w:rsidTr="0F90D236">
        <w:tc>
          <w:tcPr>
            <w:tcW w:w="9854" w:type="dxa"/>
            <w:shd w:val="clear" w:color="auto" w:fill="auto"/>
          </w:tcPr>
          <w:p w14:paraId="7E1BAEF8" w14:textId="77777777" w:rsidR="00946650" w:rsidRPr="000C4276" w:rsidRDefault="0F90D236" w:rsidP="003A723F">
            <w:pPr>
              <w:tabs>
                <w:tab w:val="left" w:pos="993"/>
              </w:tabs>
              <w:spacing w:before="120" w:after="0"/>
            </w:pPr>
            <w:r>
              <w:t>The grant may take the form of a single lump-sum covering the entire eligible costs of an action or a work programme.</w:t>
            </w:r>
          </w:p>
          <w:p w14:paraId="071462EC" w14:textId="77777777" w:rsidR="00946650" w:rsidRPr="000C4276" w:rsidRDefault="0F90D236" w:rsidP="003A723F">
            <w:pPr>
              <w:tabs>
                <w:tab w:val="left" w:pos="993"/>
              </w:tabs>
              <w:spacing w:before="120" w:after="0"/>
            </w:pPr>
            <w:r>
              <w:t>Single lump sums may be determined on the basis of the estimated budget, which should comply with the principles of economy, efficiency and effectiveness. Compliance with these principles shall be verified ex ante at the time of evaluation of the grant application.</w:t>
            </w:r>
          </w:p>
          <w:p w14:paraId="3423B0E8" w14:textId="77777777" w:rsidR="00946650" w:rsidRPr="000C4276" w:rsidRDefault="0F90D236" w:rsidP="003A723F">
            <w:pPr>
              <w:tabs>
                <w:tab w:val="left" w:pos="993"/>
              </w:tabs>
              <w:spacing w:before="120" w:after="0"/>
            </w:pPr>
            <w:r>
              <w:t xml:space="preserve">When authorising single lump sums the authorising officer responsible shall comply with the conditions applicable to output or result based SCOs. </w:t>
            </w:r>
          </w:p>
          <w:p w14:paraId="58467E76" w14:textId="77777777" w:rsidR="00946650" w:rsidRDefault="0F90D236" w:rsidP="0F90D236">
            <w:pPr>
              <w:tabs>
                <w:tab w:val="left" w:pos="993"/>
              </w:tabs>
              <w:spacing w:before="120" w:after="120"/>
              <w:rPr>
                <w:b/>
                <w:bCs/>
                <w:highlight w:val="lightGray"/>
              </w:rPr>
            </w:pPr>
            <w:r>
              <w:t xml:space="preserve">When using this form of financing, the description of the action shall include detailed information on the essential conditions triggering the payment, including, where applicable, the achievement of outputs and/or results. </w:t>
            </w:r>
          </w:p>
        </w:tc>
      </w:tr>
    </w:tbl>
    <w:p w14:paraId="14D5BFD5" w14:textId="77777777" w:rsidR="0007408E" w:rsidRPr="00807DAF" w:rsidRDefault="0F90D236" w:rsidP="0F90D236">
      <w:pPr>
        <w:spacing w:before="120" w:after="0"/>
        <w:rPr>
          <w:u w:val="single"/>
        </w:rPr>
      </w:pPr>
      <w:r w:rsidRPr="0F90D236">
        <w:rPr>
          <w:u w:val="single"/>
        </w:rPr>
        <w:t>Eligible direct costs</w:t>
      </w:r>
    </w:p>
    <w:p w14:paraId="672CFAE2" w14:textId="7B28F796" w:rsidR="0007408E" w:rsidRDefault="0F90D236" w:rsidP="00A672A7">
      <w:pPr>
        <w:spacing w:before="120" w:after="0"/>
      </w:pPr>
      <w:r>
        <w:t>To be eligible under this call for proposals, costs must comply with the provisions of Article 14 of the general conditions to the standard grant contract (see Annex G of the guidelines).</w:t>
      </w:r>
    </w:p>
    <w:p w14:paraId="59260244" w14:textId="6148E080" w:rsidR="007D4549" w:rsidRPr="003D6C04" w:rsidRDefault="007D4549" w:rsidP="006C0FE5">
      <w:pPr>
        <w:spacing w:before="120" w:after="120"/>
      </w:pPr>
      <w:r w:rsidRPr="003D6C04">
        <w:t>The applicants (and where applicable their affiliated entities) agree that the expenditure verification(s) referred to in Article 15.7 of the general conditions to the standard grant contract (see Annex G of the guidelines) will be carried out by the contracting authority.</w:t>
      </w:r>
    </w:p>
    <w:tbl>
      <w:tblPr>
        <w:tblStyle w:val="TableGrid"/>
        <w:tblW w:w="0" w:type="auto"/>
        <w:tblLook w:val="04A0" w:firstRow="1" w:lastRow="0" w:firstColumn="1" w:lastColumn="0" w:noHBand="0" w:noVBand="1"/>
      </w:tblPr>
      <w:tblGrid>
        <w:gridCol w:w="9628"/>
      </w:tblGrid>
      <w:tr w:rsidR="00CE19A3" w14:paraId="199E558F" w14:textId="77777777" w:rsidTr="00CE19A3">
        <w:tc>
          <w:tcPr>
            <w:tcW w:w="9628" w:type="dxa"/>
          </w:tcPr>
          <w:p w14:paraId="5B3FBF0A" w14:textId="50D7389B" w:rsidR="00CE19A3" w:rsidRPr="002871AF" w:rsidRDefault="00CE19A3" w:rsidP="00CE19A3">
            <w:pPr>
              <w:spacing w:before="60" w:after="0"/>
              <w:ind w:left="84"/>
              <w:jc w:val="center"/>
              <w:rPr>
                <w:b/>
                <w:bCs/>
                <w:szCs w:val="22"/>
              </w:rPr>
            </w:pPr>
            <w:r w:rsidRPr="002871AF">
              <w:rPr>
                <w:b/>
                <w:bCs/>
                <w:szCs w:val="22"/>
              </w:rPr>
              <w:t>IMPORTANT NOTE</w:t>
            </w:r>
            <w:r w:rsidR="00E907F0">
              <w:rPr>
                <w:b/>
                <w:bCs/>
                <w:szCs w:val="22"/>
              </w:rPr>
              <w:t xml:space="preserve"> </w:t>
            </w:r>
            <w:r>
              <w:rPr>
                <w:b/>
                <w:bCs/>
                <w:szCs w:val="22"/>
              </w:rPr>
              <w:t>-</w:t>
            </w:r>
            <w:r w:rsidR="00E907F0">
              <w:rPr>
                <w:b/>
                <w:bCs/>
                <w:szCs w:val="22"/>
              </w:rPr>
              <w:t xml:space="preserve"> </w:t>
            </w:r>
            <w:r>
              <w:rPr>
                <w:b/>
                <w:bCs/>
                <w:szCs w:val="22"/>
              </w:rPr>
              <w:t>4</w:t>
            </w:r>
          </w:p>
          <w:p w14:paraId="6F184A0E" w14:textId="0A0B5854" w:rsidR="00CE19A3" w:rsidRDefault="00CE19A3" w:rsidP="00CE19A3">
            <w:pPr>
              <w:spacing w:before="60" w:after="120"/>
              <w:rPr>
                <w:b/>
                <w:bCs/>
                <w:szCs w:val="22"/>
              </w:rPr>
            </w:pPr>
            <w:r>
              <w:rPr>
                <w:b/>
                <w:bCs/>
                <w:szCs w:val="22"/>
              </w:rPr>
              <w:t xml:space="preserve">It is recommended that </w:t>
            </w:r>
            <w:r w:rsidR="00D12352">
              <w:rPr>
                <w:b/>
                <w:bCs/>
                <w:szCs w:val="22"/>
              </w:rPr>
              <w:t>travel costs and per diems</w:t>
            </w:r>
            <w:r>
              <w:rPr>
                <w:b/>
                <w:bCs/>
                <w:szCs w:val="22"/>
              </w:rPr>
              <w:t xml:space="preserve"> for the following events </w:t>
            </w:r>
            <w:r w:rsidR="00D12352">
              <w:rPr>
                <w:b/>
                <w:bCs/>
                <w:szCs w:val="22"/>
              </w:rPr>
              <w:t xml:space="preserve">to be organised by the </w:t>
            </w:r>
            <w:proofErr w:type="spellStart"/>
            <w:r w:rsidR="00D12352">
              <w:rPr>
                <w:b/>
                <w:bCs/>
                <w:szCs w:val="22"/>
              </w:rPr>
              <w:t>Eurochambres</w:t>
            </w:r>
            <w:proofErr w:type="spellEnd"/>
            <w:r w:rsidR="00D12352">
              <w:rPr>
                <w:b/>
                <w:bCs/>
                <w:szCs w:val="22"/>
              </w:rPr>
              <w:t xml:space="preserve"> </w:t>
            </w:r>
            <w:r w:rsidR="007B2A0B" w:rsidRPr="007B2A0B">
              <w:rPr>
                <w:b/>
                <w:bCs/>
                <w:szCs w:val="22"/>
              </w:rPr>
              <w:t xml:space="preserve">(within the scope of the direct grant project that aims to provide on-going assistance to the grant beneficiaries) </w:t>
            </w:r>
            <w:r>
              <w:rPr>
                <w:b/>
                <w:bCs/>
                <w:szCs w:val="22"/>
              </w:rPr>
              <w:t xml:space="preserve">are included </w:t>
            </w:r>
            <w:r w:rsidR="007B2A0B">
              <w:rPr>
                <w:b/>
                <w:bCs/>
                <w:szCs w:val="22"/>
              </w:rPr>
              <w:t>in the budget of the proposed grant project</w:t>
            </w:r>
            <w:r>
              <w:rPr>
                <w:b/>
                <w:bCs/>
                <w:szCs w:val="22"/>
              </w:rPr>
              <w:t>:</w:t>
            </w:r>
          </w:p>
          <w:p w14:paraId="11DDDCDF" w14:textId="77777777" w:rsidR="00CE19A3" w:rsidRDefault="00CE19A3" w:rsidP="00CE19A3">
            <w:pPr>
              <w:pStyle w:val="ListParagraph"/>
              <w:numPr>
                <w:ilvl w:val="0"/>
                <w:numId w:val="53"/>
              </w:numPr>
              <w:spacing w:before="60" w:after="120"/>
              <w:rPr>
                <w:b/>
                <w:bCs/>
                <w:szCs w:val="22"/>
              </w:rPr>
            </w:pPr>
            <w:r w:rsidRPr="00535BE3">
              <w:rPr>
                <w:b/>
                <w:bCs/>
                <w:szCs w:val="22"/>
              </w:rPr>
              <w:t>Kick-off Conference and Grant Implementation Training</w:t>
            </w:r>
            <w:r>
              <w:rPr>
                <w:b/>
                <w:bCs/>
                <w:szCs w:val="22"/>
              </w:rPr>
              <w:t>,</w:t>
            </w:r>
            <w:r w:rsidRPr="00535BE3">
              <w:rPr>
                <w:b/>
                <w:bCs/>
                <w:szCs w:val="22"/>
              </w:rPr>
              <w:t xml:space="preserve"> and </w:t>
            </w:r>
          </w:p>
          <w:p w14:paraId="076F0C24" w14:textId="77777777" w:rsidR="00CE19A3" w:rsidRDefault="00CE19A3" w:rsidP="00CE19A3">
            <w:pPr>
              <w:pStyle w:val="ListParagraph"/>
              <w:numPr>
                <w:ilvl w:val="0"/>
                <w:numId w:val="53"/>
              </w:numPr>
              <w:spacing w:before="60" w:after="120"/>
              <w:rPr>
                <w:b/>
                <w:bCs/>
                <w:szCs w:val="22"/>
              </w:rPr>
            </w:pPr>
            <w:r>
              <w:rPr>
                <w:b/>
                <w:bCs/>
                <w:szCs w:val="22"/>
              </w:rPr>
              <w:t>M</w:t>
            </w:r>
            <w:r w:rsidRPr="00535BE3">
              <w:rPr>
                <w:b/>
                <w:bCs/>
                <w:szCs w:val="22"/>
              </w:rPr>
              <w:t xml:space="preserve">id-term training. </w:t>
            </w:r>
          </w:p>
          <w:p w14:paraId="2103609E" w14:textId="0F8D916C" w:rsidR="00CE19A3" w:rsidRPr="00877BCA" w:rsidRDefault="00CE19A3" w:rsidP="00877BCA">
            <w:pPr>
              <w:spacing w:before="60" w:after="120"/>
              <w:rPr>
                <w:b/>
                <w:bCs/>
                <w:szCs w:val="22"/>
              </w:rPr>
            </w:pPr>
            <w:r w:rsidRPr="00535BE3">
              <w:rPr>
                <w:b/>
                <w:bCs/>
                <w:szCs w:val="22"/>
              </w:rPr>
              <w:t>Each activity is foreseen to be for 2 days</w:t>
            </w:r>
            <w:r>
              <w:rPr>
                <w:b/>
                <w:bCs/>
                <w:szCs w:val="22"/>
              </w:rPr>
              <w:t xml:space="preserve"> </w:t>
            </w:r>
            <w:r w:rsidRPr="00AD2EF4">
              <w:rPr>
                <w:b/>
                <w:bCs/>
                <w:szCs w:val="22"/>
              </w:rPr>
              <w:t xml:space="preserve">in </w:t>
            </w:r>
            <w:r>
              <w:rPr>
                <w:b/>
                <w:bCs/>
                <w:szCs w:val="22"/>
              </w:rPr>
              <w:t>İstanbul/</w:t>
            </w:r>
            <w:proofErr w:type="spellStart"/>
            <w:r w:rsidRPr="00AD2EF4">
              <w:rPr>
                <w:b/>
                <w:bCs/>
                <w:szCs w:val="22"/>
              </w:rPr>
              <w:t>Türkiye</w:t>
            </w:r>
            <w:proofErr w:type="spellEnd"/>
            <w:r w:rsidRPr="00AD2EF4">
              <w:rPr>
                <w:b/>
                <w:bCs/>
                <w:szCs w:val="22"/>
              </w:rPr>
              <w:t xml:space="preserve"> for min. 2 persons (one person from the lead applicant and one person from the co-applicants)</w:t>
            </w:r>
            <w:r w:rsidR="00D12352">
              <w:rPr>
                <w:b/>
                <w:bCs/>
                <w:szCs w:val="22"/>
              </w:rPr>
              <w:t>.</w:t>
            </w:r>
          </w:p>
        </w:tc>
      </w:tr>
    </w:tbl>
    <w:p w14:paraId="789CC2FF" w14:textId="42BDFDFE" w:rsidR="006C0FE5" w:rsidRDefault="006C0FE5" w:rsidP="006C0FE5">
      <w:pPr>
        <w:spacing w:before="60" w:after="120"/>
        <w:ind w:left="84"/>
        <w:jc w:val="center"/>
      </w:pPr>
      <w:r w:rsidRPr="003D6C04">
        <w:lastRenderedPageBreak/>
        <w:t>Salary costs of the personnel of national administrations may be eligible to the extent that they relate to the cost of activities which the relevant public authority would not carry out if the action were not undertaken</w:t>
      </w:r>
      <w:r>
        <w:t>.</w:t>
      </w:r>
    </w:p>
    <w:tbl>
      <w:tblPr>
        <w:tblStyle w:val="TableGrid"/>
        <w:tblW w:w="0" w:type="auto"/>
        <w:tblLook w:val="04A0" w:firstRow="1" w:lastRow="0" w:firstColumn="1" w:lastColumn="0" w:noHBand="0" w:noVBand="1"/>
      </w:tblPr>
      <w:tblGrid>
        <w:gridCol w:w="9628"/>
      </w:tblGrid>
      <w:tr w:rsidR="006C0FE5" w14:paraId="2D10118D" w14:textId="77777777" w:rsidTr="006C0FE5">
        <w:tc>
          <w:tcPr>
            <w:tcW w:w="9628" w:type="dxa"/>
          </w:tcPr>
          <w:p w14:paraId="43808F44" w14:textId="72233E7F" w:rsidR="006C0FE5" w:rsidRPr="00A77E95" w:rsidRDefault="006C0FE5" w:rsidP="00877BCA">
            <w:pPr>
              <w:spacing w:before="60" w:after="120"/>
              <w:ind w:left="84"/>
              <w:jc w:val="center"/>
              <w:rPr>
                <w:b/>
                <w:bCs/>
              </w:rPr>
            </w:pPr>
            <w:r w:rsidRPr="00A77E95">
              <w:rPr>
                <w:b/>
                <w:bCs/>
              </w:rPr>
              <w:t>IMPORTANT NOTE</w:t>
            </w:r>
            <w:r w:rsidR="00E907F0">
              <w:rPr>
                <w:b/>
                <w:bCs/>
              </w:rPr>
              <w:t xml:space="preserve"> </w:t>
            </w:r>
            <w:r w:rsidRPr="00A77E95">
              <w:rPr>
                <w:b/>
                <w:bCs/>
              </w:rPr>
              <w:t>-</w:t>
            </w:r>
            <w:r w:rsidR="00E907F0">
              <w:rPr>
                <w:b/>
                <w:bCs/>
              </w:rPr>
              <w:t xml:space="preserve"> </w:t>
            </w:r>
            <w:r>
              <w:rPr>
                <w:b/>
                <w:bCs/>
              </w:rPr>
              <w:t>5</w:t>
            </w:r>
          </w:p>
          <w:p w14:paraId="36050F60" w14:textId="77777777" w:rsidR="006C0FE5" w:rsidRPr="00A77E95" w:rsidRDefault="006C0FE5" w:rsidP="006C0FE5">
            <w:pPr>
              <w:spacing w:before="60" w:after="0"/>
              <w:rPr>
                <w:b/>
                <w:bCs/>
              </w:rPr>
            </w:pPr>
            <w:r w:rsidRPr="00A77E95">
              <w:rPr>
                <w:b/>
                <w:bCs/>
              </w:rPr>
              <w:t xml:space="preserve">Civil Servants who are employed under the Law No 657 cannot be employed or be paid any salary within the context of this project </w:t>
            </w:r>
            <w:r w:rsidRPr="00877BCA">
              <w:rPr>
                <w:b/>
                <w:bCs/>
                <w:u w:val="single"/>
              </w:rPr>
              <w:t>except if</w:t>
            </w:r>
            <w:r w:rsidRPr="00A77E95">
              <w:rPr>
                <w:b/>
                <w:bCs/>
              </w:rPr>
              <w:t>;</w:t>
            </w:r>
          </w:p>
          <w:p w14:paraId="7B2BB063" w14:textId="6D5728C3" w:rsidR="006C0FE5" w:rsidRPr="00A77E95" w:rsidRDefault="006C0FE5" w:rsidP="006C0FE5">
            <w:pPr>
              <w:pStyle w:val="Text2"/>
              <w:numPr>
                <w:ilvl w:val="0"/>
                <w:numId w:val="40"/>
              </w:numPr>
              <w:tabs>
                <w:tab w:val="clear" w:pos="2161"/>
              </w:tabs>
              <w:snapToGrid w:val="0"/>
              <w:spacing w:before="60" w:after="0"/>
              <w:rPr>
                <w:b/>
                <w:bCs/>
              </w:rPr>
            </w:pPr>
            <w:r w:rsidRPr="00A77E95">
              <w:rPr>
                <w:b/>
                <w:bCs/>
              </w:rPr>
              <w:t xml:space="preserve">the cost of these staff assigned to the action is paid by the beneficiaries </w:t>
            </w:r>
            <w:r w:rsidR="001104EB">
              <w:rPr>
                <w:b/>
                <w:szCs w:val="22"/>
              </w:rPr>
              <w:t>or affiliated entity(</w:t>
            </w:r>
            <w:proofErr w:type="spellStart"/>
            <w:r w:rsidR="001104EB">
              <w:rPr>
                <w:b/>
                <w:szCs w:val="22"/>
              </w:rPr>
              <w:t>ies</w:t>
            </w:r>
            <w:proofErr w:type="spellEnd"/>
            <w:r w:rsidR="001104EB">
              <w:rPr>
                <w:b/>
                <w:szCs w:val="22"/>
              </w:rPr>
              <w:t xml:space="preserve">) (if any) </w:t>
            </w:r>
            <w:r w:rsidRPr="00A77E95">
              <w:rPr>
                <w:b/>
                <w:bCs/>
              </w:rPr>
              <w:t>if they get necessary permissions from their institutions and they are under the payroll of the beneficiaries</w:t>
            </w:r>
            <w:r w:rsidR="001104EB">
              <w:rPr>
                <w:b/>
                <w:szCs w:val="22"/>
              </w:rPr>
              <w:t xml:space="preserve"> or affiliated entity(</w:t>
            </w:r>
            <w:proofErr w:type="spellStart"/>
            <w:r w:rsidR="001104EB">
              <w:rPr>
                <w:b/>
                <w:szCs w:val="22"/>
              </w:rPr>
              <w:t>ies</w:t>
            </w:r>
            <w:proofErr w:type="spellEnd"/>
            <w:r w:rsidR="001104EB">
              <w:rPr>
                <w:b/>
                <w:szCs w:val="22"/>
              </w:rPr>
              <w:t>) (if any)</w:t>
            </w:r>
            <w:r w:rsidRPr="00A77E95">
              <w:rPr>
                <w:b/>
                <w:bCs/>
              </w:rPr>
              <w:t>.</w:t>
            </w:r>
          </w:p>
          <w:p w14:paraId="561AAFFD" w14:textId="77777777" w:rsidR="006C0FE5" w:rsidRPr="00A77E95" w:rsidRDefault="006C0FE5" w:rsidP="006C0FE5">
            <w:pPr>
              <w:tabs>
                <w:tab w:val="num" w:pos="1485"/>
                <w:tab w:val="left" w:pos="2161"/>
              </w:tabs>
              <w:spacing w:before="60" w:after="40"/>
              <w:rPr>
                <w:b/>
                <w:bCs/>
              </w:rPr>
            </w:pPr>
            <w:r w:rsidRPr="00A77E95">
              <w:rPr>
                <w:b/>
                <w:bCs/>
              </w:rPr>
              <w:t xml:space="preserve">Other public officials and academic staff can be employed in the </w:t>
            </w:r>
            <w:r>
              <w:rPr>
                <w:b/>
                <w:bCs/>
              </w:rPr>
              <w:t>p</w:t>
            </w:r>
            <w:r w:rsidRPr="00A77E95">
              <w:rPr>
                <w:b/>
                <w:bCs/>
              </w:rPr>
              <w:t xml:space="preserve">roject within the framework of the applicable law(s) to which they and their institutions are subject. </w:t>
            </w:r>
          </w:p>
          <w:p w14:paraId="5BB0EA0E" w14:textId="64D553DE" w:rsidR="006C0FE5" w:rsidRPr="00877BCA" w:rsidRDefault="006C0FE5" w:rsidP="00877BCA">
            <w:pPr>
              <w:tabs>
                <w:tab w:val="num" w:pos="1485"/>
                <w:tab w:val="left" w:pos="2161"/>
              </w:tabs>
              <w:spacing w:before="60" w:after="60"/>
              <w:rPr>
                <w:b/>
                <w:bCs/>
              </w:rPr>
            </w:pPr>
            <w:r w:rsidRPr="00A77E95">
              <w:rPr>
                <w:b/>
                <w:bCs/>
              </w:rPr>
              <w:t>The legislation relevant to the civil servants in the other eligible countries should be respected.</w:t>
            </w:r>
          </w:p>
        </w:tc>
      </w:tr>
    </w:tbl>
    <w:p w14:paraId="00173275" w14:textId="17365C16" w:rsidR="007034C6" w:rsidRPr="00807DAF" w:rsidRDefault="0F90D236" w:rsidP="0F90D236">
      <w:pPr>
        <w:spacing w:before="120" w:after="0"/>
        <w:rPr>
          <w:u w:val="single"/>
        </w:rPr>
      </w:pPr>
      <w:r w:rsidRPr="0F90D236">
        <w:rPr>
          <w:u w:val="single"/>
        </w:rPr>
        <w:t>Contingency reserve</w:t>
      </w:r>
    </w:p>
    <w:p w14:paraId="2AC1B729" w14:textId="2FA4730D" w:rsidR="009F6E66" w:rsidRDefault="00080EA0" w:rsidP="003A723F">
      <w:pPr>
        <w:spacing w:before="120" w:after="0"/>
      </w:pPr>
      <w:r w:rsidRPr="003D6C04">
        <w:t xml:space="preserve">The budget may include a contingency reserve not exceeding </w:t>
      </w:r>
      <w:r w:rsidRPr="003D6C04">
        <w:rPr>
          <w:b/>
        </w:rPr>
        <w:t>5%</w:t>
      </w:r>
      <w:r w:rsidRPr="003D6C04">
        <w:t xml:space="preserve"> of the </w:t>
      </w:r>
      <w:r w:rsidR="00E907F0" w:rsidRPr="00807DAF">
        <w:t>estimated direct eligible costs</w:t>
      </w:r>
      <w:r w:rsidRPr="003D6C04">
        <w:t xml:space="preserve">. It can only be used with the </w:t>
      </w:r>
      <w:r w:rsidRPr="003D6C04">
        <w:rPr>
          <w:b/>
        </w:rPr>
        <w:t>prior written</w:t>
      </w:r>
      <w:r w:rsidRPr="003D6C04">
        <w:t xml:space="preserve"> </w:t>
      </w:r>
      <w:r w:rsidRPr="003D6C04">
        <w:rPr>
          <w:b/>
        </w:rPr>
        <w:t>authorisation</w:t>
      </w:r>
      <w:r w:rsidRPr="003D6C04">
        <w:t xml:space="preserve"> of the contracting authority.</w:t>
      </w:r>
    </w:p>
    <w:p w14:paraId="70021785" w14:textId="77777777" w:rsidR="0007408E" w:rsidRPr="00807DAF" w:rsidRDefault="0F90D236" w:rsidP="0F90D236">
      <w:pPr>
        <w:spacing w:before="120" w:after="0"/>
        <w:rPr>
          <w:u w:val="single"/>
        </w:rPr>
      </w:pPr>
      <w:r w:rsidRPr="0F90D236">
        <w:rPr>
          <w:u w:val="single"/>
        </w:rPr>
        <w:t>Eligible indirect costs</w:t>
      </w:r>
    </w:p>
    <w:p w14:paraId="647E52D2" w14:textId="65D4AF41" w:rsidR="00080EA0" w:rsidRPr="003D6C04" w:rsidRDefault="00080EA0" w:rsidP="00080EA0">
      <w:pPr>
        <w:spacing w:before="120" w:after="0"/>
        <w:rPr>
          <w:snapToGrid/>
          <w:lang w:eastAsia="en-GB" w:bidi="kn-IN"/>
        </w:rPr>
      </w:pPr>
      <w:r w:rsidRPr="003D6C04">
        <w:rPr>
          <w:snapToGrid/>
          <w:lang w:eastAsia="en-GB" w:bidi="kn-IN"/>
        </w:rPr>
        <w:t xml:space="preserve">The indirect costs incurred in carrying out the action may be eligible for flat-rate funding, but the total must not exceed </w:t>
      </w:r>
      <w:r w:rsidRPr="003D6C04">
        <w:rPr>
          <w:b/>
          <w:snapToGrid/>
          <w:lang w:eastAsia="en-GB" w:bidi="kn-IN"/>
        </w:rPr>
        <w:t>7%</w:t>
      </w:r>
      <w:r w:rsidRPr="003D6C04">
        <w:rPr>
          <w:snapToGrid/>
          <w:lang w:eastAsia="en-GB" w:bidi="kn-IN"/>
        </w:rPr>
        <w:t xml:space="preserve"> of the </w:t>
      </w:r>
      <w:r w:rsidR="00E907F0" w:rsidRPr="00807DAF">
        <w:rPr>
          <w:snapToGrid/>
          <w:lang w:eastAsia="en-GB" w:bidi="kn-IN"/>
        </w:rPr>
        <w:t>estimated total eligible direct costs</w:t>
      </w:r>
      <w:r w:rsidRPr="003D6C04">
        <w:t xml:space="preserve">. </w:t>
      </w:r>
      <w:r w:rsidRPr="003D6C04">
        <w:rPr>
          <w:snapToGrid/>
          <w:lang w:eastAsia="en-GB" w:bidi="kn-IN"/>
        </w:rPr>
        <w:t>Indirect costs are eligible provided that they do not include costs assigned to another budget heading in the standard grant contract. The lead applicant may be asked to justify the percentage requested before the grant contract is signed. However, once the flat rate has been fixed in the special conditions of the grant contract, no supporting documents need to be provided.</w:t>
      </w:r>
    </w:p>
    <w:p w14:paraId="7F0DDCE1" w14:textId="680292A7" w:rsidR="00460729" w:rsidRDefault="00460729" w:rsidP="0F90D236">
      <w:pPr>
        <w:spacing w:before="120" w:after="0"/>
        <w:rPr>
          <w:lang w:eastAsia="en-GB" w:bidi="kn-IN"/>
        </w:rPr>
      </w:pPr>
      <w:r w:rsidRPr="00807DAF">
        <w:rPr>
          <w:snapToGrid/>
          <w:lang w:eastAsia="en-GB" w:bidi="kn-IN"/>
        </w:rPr>
        <w:t xml:space="preserve">If </w:t>
      </w:r>
      <w:r w:rsidR="00A703F1" w:rsidRPr="00807DAF">
        <w:rPr>
          <w:snapToGrid/>
          <w:lang w:eastAsia="en-GB" w:bidi="kn-IN"/>
        </w:rPr>
        <w:t>any of the</w:t>
      </w:r>
      <w:r w:rsidR="00705C17" w:rsidRPr="00807DAF">
        <w:rPr>
          <w:snapToGrid/>
          <w:lang w:eastAsia="en-GB" w:bidi="kn-IN"/>
        </w:rPr>
        <w:t xml:space="preserve"> </w:t>
      </w:r>
      <w:r w:rsidRPr="00807DAF">
        <w:rPr>
          <w:snapToGrid/>
          <w:lang w:eastAsia="en-GB" w:bidi="kn-IN"/>
        </w:rPr>
        <w:t>applicant</w:t>
      </w:r>
      <w:r w:rsidR="00A703F1" w:rsidRPr="00807DAF">
        <w:rPr>
          <w:snapToGrid/>
          <w:lang w:eastAsia="en-GB" w:bidi="kn-IN"/>
        </w:rPr>
        <w:t>s</w:t>
      </w:r>
      <w:r w:rsidR="00E907F0" w:rsidRPr="00E907F0">
        <w:rPr>
          <w:snapToGrid/>
          <w:lang w:eastAsia="en-GB" w:bidi="kn-IN"/>
        </w:rPr>
        <w:t xml:space="preserve"> </w:t>
      </w:r>
      <w:r w:rsidR="00E907F0" w:rsidRPr="00807DAF">
        <w:rPr>
          <w:snapToGrid/>
          <w:lang w:eastAsia="en-GB" w:bidi="kn-IN"/>
        </w:rPr>
        <w:t>or affiliated entity(</w:t>
      </w:r>
      <w:proofErr w:type="spellStart"/>
      <w:r w:rsidR="00E907F0" w:rsidRPr="00807DAF">
        <w:rPr>
          <w:snapToGrid/>
          <w:lang w:eastAsia="en-GB" w:bidi="kn-IN"/>
        </w:rPr>
        <w:t>ies</w:t>
      </w:r>
      <w:proofErr w:type="spellEnd"/>
      <w:r w:rsidR="00E907F0" w:rsidRPr="00807DAF">
        <w:rPr>
          <w:snapToGrid/>
          <w:lang w:eastAsia="en-GB" w:bidi="kn-IN"/>
        </w:rPr>
        <w:t>)</w:t>
      </w:r>
      <w:r w:rsidRPr="00807DAF">
        <w:rPr>
          <w:snapToGrid/>
          <w:lang w:eastAsia="en-GB" w:bidi="kn-IN"/>
        </w:rPr>
        <w:t xml:space="preserve"> is in receipt of an operating grant financed </w:t>
      </w:r>
      <w:r w:rsidR="00705C17" w:rsidRPr="00807DAF">
        <w:rPr>
          <w:snapToGrid/>
          <w:lang w:eastAsia="en-GB" w:bidi="kn-IN"/>
        </w:rPr>
        <w:t xml:space="preserve">by </w:t>
      </w:r>
      <w:r w:rsidRPr="00807DAF">
        <w:rPr>
          <w:snapToGrid/>
          <w:lang w:eastAsia="en-GB" w:bidi="kn-IN"/>
        </w:rPr>
        <w:t xml:space="preserve">the </w:t>
      </w:r>
      <w:r w:rsidR="00D65E10" w:rsidRPr="00807DAF">
        <w:rPr>
          <w:snapToGrid/>
          <w:lang w:eastAsia="en-GB" w:bidi="kn-IN"/>
        </w:rPr>
        <w:t>EU</w:t>
      </w:r>
      <w:r w:rsidR="00601848" w:rsidRPr="00807DAF">
        <w:rPr>
          <w:snapToGrid/>
          <w:lang w:eastAsia="en-GB" w:bidi="kn-IN"/>
        </w:rPr>
        <w:t xml:space="preserve">, </w:t>
      </w:r>
      <w:r w:rsidR="00705C17" w:rsidRPr="00807DAF">
        <w:rPr>
          <w:snapToGrid/>
          <w:lang w:eastAsia="en-GB" w:bidi="kn-IN"/>
        </w:rPr>
        <w:t>it may not claim</w:t>
      </w:r>
      <w:r w:rsidRPr="00807DAF">
        <w:rPr>
          <w:snapToGrid/>
          <w:lang w:eastAsia="en-GB" w:bidi="kn-IN"/>
        </w:rPr>
        <w:t xml:space="preserve"> indirect costs</w:t>
      </w:r>
      <w:r w:rsidR="00705C17" w:rsidRPr="00807DAF">
        <w:rPr>
          <w:snapToGrid/>
          <w:lang w:eastAsia="en-GB" w:bidi="kn-IN"/>
        </w:rPr>
        <w:t xml:space="preserve"> on its incurred costs</w:t>
      </w:r>
      <w:r w:rsidR="00705C17" w:rsidRPr="0F90D236">
        <w:rPr>
          <w:snapToGrid/>
          <w:color w:val="0000FF"/>
          <w:sz w:val="20"/>
          <w:lang w:eastAsia="en-GB" w:bidi="kn-IN"/>
        </w:rPr>
        <w:t xml:space="preserve"> </w:t>
      </w:r>
      <w:r w:rsidRPr="00807DAF">
        <w:rPr>
          <w:snapToGrid/>
          <w:lang w:eastAsia="en-GB" w:bidi="kn-IN"/>
        </w:rPr>
        <w:t>within the proposed budget for the action.</w:t>
      </w:r>
    </w:p>
    <w:p w14:paraId="51DFA391" w14:textId="77777777" w:rsidR="0007408E" w:rsidRPr="00807DAF" w:rsidRDefault="0F90D236" w:rsidP="0F90D236">
      <w:pPr>
        <w:spacing w:before="120" w:after="0"/>
        <w:rPr>
          <w:u w:val="single"/>
        </w:rPr>
      </w:pPr>
      <w:r w:rsidRPr="0F90D236">
        <w:rPr>
          <w:u w:val="single"/>
        </w:rPr>
        <w:t>Contributions in kind</w:t>
      </w:r>
    </w:p>
    <w:p w14:paraId="0B92C706" w14:textId="65B45E3C" w:rsidR="00C7546F" w:rsidRPr="009548E9" w:rsidRDefault="0F90D236" w:rsidP="003A723F">
      <w:pPr>
        <w:spacing w:before="120" w:after="0"/>
      </w:pPr>
      <w:r>
        <w:t xml:space="preserve">Contributions in kind mean the provision of goods or services to beneficiaries </w:t>
      </w:r>
      <w:r w:rsidR="00E907F0" w:rsidRPr="00807DAF">
        <w:t xml:space="preserve">or </w:t>
      </w:r>
      <w:r w:rsidR="00E907F0" w:rsidRPr="00807DAF">
        <w:rPr>
          <w:snapToGrid/>
          <w:lang w:eastAsia="en-GB" w:bidi="kn-IN"/>
        </w:rPr>
        <w:t xml:space="preserve">affiliated entities </w:t>
      </w:r>
      <w:r>
        <w:t>free of charge by a third party. As contributions in kind do not involve any expenditure for beneficiaries</w:t>
      </w:r>
      <w:r w:rsidR="00E907F0" w:rsidRPr="00E907F0">
        <w:rPr>
          <w:snapToGrid/>
          <w:lang w:eastAsia="en-GB" w:bidi="kn-IN"/>
        </w:rPr>
        <w:t xml:space="preserve"> </w:t>
      </w:r>
      <w:r w:rsidR="00E907F0" w:rsidRPr="00807DAF">
        <w:rPr>
          <w:snapToGrid/>
          <w:lang w:eastAsia="en-GB" w:bidi="kn-IN"/>
        </w:rPr>
        <w:t>or affiliated entities</w:t>
      </w:r>
      <w:r w:rsidR="00BA74B5">
        <w:t>,</w:t>
      </w:r>
      <w:r>
        <w:t xml:space="preserve"> they are not eligible costs</w:t>
      </w:r>
      <w:r w:rsidR="00843D38">
        <w:t>.</w:t>
      </w:r>
    </w:p>
    <w:p w14:paraId="583A6AAE" w14:textId="44B4F442" w:rsidR="009115E4" w:rsidRDefault="0F90D236" w:rsidP="009115E4">
      <w:pPr>
        <w:spacing w:before="120" w:after="0"/>
      </w:pPr>
      <w:r>
        <w:t xml:space="preserve">Contributions in kind </w:t>
      </w:r>
      <w:r w:rsidRPr="0F90D236">
        <w:rPr>
          <w:b/>
          <w:bCs/>
        </w:rPr>
        <w:t>may not</w:t>
      </w:r>
      <w:r>
        <w:t xml:space="preserve"> be treated as co-financing</w:t>
      </w:r>
      <w:r w:rsidR="00E907F0">
        <w:t>.</w:t>
      </w:r>
    </w:p>
    <w:p w14:paraId="45E5AAAC" w14:textId="77777777" w:rsidR="009115E4" w:rsidRDefault="0F90D236" w:rsidP="003A723F">
      <w:pPr>
        <w:spacing w:before="120" w:after="0"/>
      </w:pPr>
      <w:r>
        <w:t>However, if the description of the action as proposed includes contributions in kind, the contributions have to be made.</w:t>
      </w:r>
    </w:p>
    <w:p w14:paraId="39EEBA65" w14:textId="77777777" w:rsidR="007212E9" w:rsidRDefault="0F90D236" w:rsidP="0F90D236">
      <w:pPr>
        <w:spacing w:before="120" w:after="0"/>
        <w:rPr>
          <w:u w:val="single"/>
        </w:rPr>
      </w:pPr>
      <w:r>
        <w:t>Other co-financing shall be based on estimates provided by the applicant.</w:t>
      </w:r>
    </w:p>
    <w:p w14:paraId="16717C8D" w14:textId="77777777" w:rsidR="00511112" w:rsidRPr="00807DAF" w:rsidRDefault="0F90D236" w:rsidP="0F90D236">
      <w:pPr>
        <w:spacing w:before="120" w:after="0"/>
        <w:rPr>
          <w:u w:val="single"/>
        </w:rPr>
      </w:pPr>
      <w:r w:rsidRPr="0F90D236">
        <w:rPr>
          <w:u w:val="single"/>
        </w:rPr>
        <w:t>Ineligible costs</w:t>
      </w:r>
    </w:p>
    <w:p w14:paraId="1AC3E81E" w14:textId="77777777" w:rsidR="00511112" w:rsidRPr="00807DAF" w:rsidRDefault="0F90D236" w:rsidP="003A723F">
      <w:pPr>
        <w:spacing w:before="120" w:after="0"/>
      </w:pPr>
      <w:r>
        <w:t>The following costs are not eligible:</w:t>
      </w:r>
    </w:p>
    <w:p w14:paraId="68AC97E5" w14:textId="77777777" w:rsidR="00AC1803" w:rsidRPr="00807DAF" w:rsidRDefault="0F90D236" w:rsidP="003A723F">
      <w:pPr>
        <w:numPr>
          <w:ilvl w:val="0"/>
          <w:numId w:val="19"/>
        </w:numPr>
        <w:spacing w:before="120" w:after="0"/>
      </w:pPr>
      <w:r>
        <w:t>debts and debt service charges (interest);</w:t>
      </w:r>
    </w:p>
    <w:p w14:paraId="404C1398" w14:textId="77777777" w:rsidR="00511112" w:rsidRPr="00807DAF" w:rsidRDefault="0F90D236" w:rsidP="003A723F">
      <w:pPr>
        <w:numPr>
          <w:ilvl w:val="0"/>
          <w:numId w:val="19"/>
        </w:numPr>
        <w:spacing w:before="120" w:after="0"/>
      </w:pPr>
      <w:r>
        <w:t>provisions for losses or potential future liabilities;</w:t>
      </w:r>
    </w:p>
    <w:p w14:paraId="41987B2C" w14:textId="7EE73099" w:rsidR="00511112" w:rsidRPr="00807DAF" w:rsidRDefault="0F90D236" w:rsidP="003A723F">
      <w:pPr>
        <w:numPr>
          <w:ilvl w:val="0"/>
          <w:numId w:val="19"/>
        </w:numPr>
        <w:spacing w:before="120" w:after="0"/>
      </w:pPr>
      <w:r>
        <w:t>costs declared by the beneficiaries and financed by another action or work programme receiving a European Union (including through EDF) grant;</w:t>
      </w:r>
    </w:p>
    <w:p w14:paraId="11BA0F5E" w14:textId="4BD55548" w:rsidR="00511112" w:rsidRPr="00807DAF" w:rsidRDefault="0F90D236" w:rsidP="003A723F">
      <w:pPr>
        <w:numPr>
          <w:ilvl w:val="0"/>
          <w:numId w:val="19"/>
        </w:numPr>
        <w:spacing w:before="120" w:after="0"/>
      </w:pPr>
      <w:r>
        <w:t>purchases of land or buildings, except where necessary for the direct implementation of the action, in which case ownership must be transferred in accordance with Article 7.5 of the general conditions of the standard grant contract, at the latest at the end of the action;</w:t>
      </w:r>
    </w:p>
    <w:p w14:paraId="29EC4E75" w14:textId="658231EA" w:rsidR="00511112" w:rsidRDefault="0F90D236" w:rsidP="003A723F">
      <w:pPr>
        <w:numPr>
          <w:ilvl w:val="0"/>
          <w:numId w:val="19"/>
        </w:numPr>
        <w:spacing w:before="120" w:after="0"/>
      </w:pPr>
      <w:r>
        <w:t>currency exchange losses;</w:t>
      </w:r>
    </w:p>
    <w:p w14:paraId="3B353AAD" w14:textId="06404AC2" w:rsidR="00FF13EE" w:rsidRDefault="0F90D236" w:rsidP="003A723F">
      <w:pPr>
        <w:numPr>
          <w:ilvl w:val="0"/>
          <w:numId w:val="19"/>
        </w:numPr>
        <w:spacing w:before="120" w:after="0"/>
      </w:pPr>
      <w:r>
        <w:t>in kind contributions;</w:t>
      </w:r>
    </w:p>
    <w:p w14:paraId="0418D851" w14:textId="77777777" w:rsidR="00FF13EE" w:rsidRDefault="0F90D236" w:rsidP="003A723F">
      <w:pPr>
        <w:numPr>
          <w:ilvl w:val="0"/>
          <w:numId w:val="19"/>
        </w:numPr>
        <w:spacing w:before="120" w:after="0"/>
      </w:pPr>
      <w:r>
        <w:t>bonuses included in costs of staff;</w:t>
      </w:r>
    </w:p>
    <w:p w14:paraId="4EC1BCA4" w14:textId="155918BE" w:rsidR="00FF13EE" w:rsidRPr="009548E9" w:rsidRDefault="0F90D236" w:rsidP="003A723F">
      <w:pPr>
        <w:numPr>
          <w:ilvl w:val="0"/>
          <w:numId w:val="19"/>
        </w:numPr>
        <w:spacing w:before="120" w:after="0"/>
      </w:pPr>
      <w:r>
        <w:t>negative interest charged by banks or other financial institutions;</w:t>
      </w:r>
    </w:p>
    <w:p w14:paraId="698AB904" w14:textId="6A06946A" w:rsidR="0061511C" w:rsidRPr="009548E9" w:rsidRDefault="0F90D236" w:rsidP="003A723F">
      <w:pPr>
        <w:numPr>
          <w:ilvl w:val="0"/>
          <w:numId w:val="19"/>
        </w:numPr>
        <w:spacing w:before="120" w:after="0"/>
      </w:pPr>
      <w:r>
        <w:t>credit to third parties;</w:t>
      </w:r>
    </w:p>
    <w:p w14:paraId="09E8B87B" w14:textId="7BF5AF55" w:rsidR="00622E2A" w:rsidRPr="009548E9" w:rsidRDefault="0F90D236" w:rsidP="003A723F">
      <w:pPr>
        <w:numPr>
          <w:ilvl w:val="0"/>
          <w:numId w:val="19"/>
        </w:numPr>
        <w:spacing w:before="120" w:after="0"/>
      </w:pPr>
      <w:r>
        <w:lastRenderedPageBreak/>
        <w:t>salary costs of the personnel of national administrations (with the exception that they relate to the cost of activities which the relevant public authority would not carry out if the action were not undertaken);</w:t>
      </w:r>
    </w:p>
    <w:p w14:paraId="24164C67" w14:textId="77777777" w:rsidR="009548E9" w:rsidRPr="00004EAB" w:rsidRDefault="009548E9" w:rsidP="003A723F">
      <w:pPr>
        <w:numPr>
          <w:ilvl w:val="0"/>
          <w:numId w:val="19"/>
        </w:numPr>
        <w:spacing w:before="120" w:after="0"/>
      </w:pPr>
      <w:r w:rsidRPr="00004EAB">
        <w:t>taxes, including value added taxes</w:t>
      </w:r>
      <w:r w:rsidRPr="00004EAB">
        <w:rPr>
          <w:rStyle w:val="FootnoteReference"/>
        </w:rPr>
        <w:footnoteReference w:id="11"/>
      </w:r>
      <w:r w:rsidRPr="00004EAB">
        <w:t>;</w:t>
      </w:r>
    </w:p>
    <w:p w14:paraId="067DC03F" w14:textId="6B809A9D" w:rsidR="009548E9" w:rsidRPr="00004EAB" w:rsidRDefault="0F90D236" w:rsidP="003A723F">
      <w:pPr>
        <w:numPr>
          <w:ilvl w:val="0"/>
          <w:numId w:val="19"/>
        </w:numPr>
        <w:spacing w:before="120" w:after="0"/>
      </w:pPr>
      <w:r w:rsidRPr="00004EAB">
        <w:t>customs and import duties, or any other changes.</w:t>
      </w:r>
    </w:p>
    <w:p w14:paraId="741E6724" w14:textId="285DC4D8" w:rsidR="0075070A" w:rsidRPr="00807DAF" w:rsidRDefault="0F90D236" w:rsidP="00A47D20">
      <w:pPr>
        <w:pStyle w:val="Guidelines3"/>
        <w:numPr>
          <w:ilvl w:val="2"/>
          <w:numId w:val="68"/>
        </w:numPr>
        <w:outlineLvl w:val="2"/>
      </w:pPr>
      <w:bookmarkStart w:id="28" w:name="_Toc145057270"/>
      <w:r>
        <w:t>Ethics clauses and Code of Conduct</w:t>
      </w:r>
      <w:bookmarkEnd w:id="28"/>
      <w:r>
        <w:t xml:space="preserve"> </w:t>
      </w:r>
    </w:p>
    <w:p w14:paraId="219198A2" w14:textId="77777777" w:rsidR="00A80223" w:rsidRPr="00417585" w:rsidRDefault="0F90D236" w:rsidP="00877BCA">
      <w:pPr>
        <w:spacing w:before="120" w:after="0"/>
        <w:ind w:left="426"/>
        <w:rPr>
          <w:u w:val="single"/>
        </w:rPr>
      </w:pPr>
      <w:r>
        <w:t xml:space="preserve">a) </w:t>
      </w:r>
      <w:r w:rsidRPr="0F90D236">
        <w:rPr>
          <w:u w:val="single"/>
        </w:rPr>
        <w:t>Absence of conflict of interest</w:t>
      </w:r>
    </w:p>
    <w:p w14:paraId="69994A3A" w14:textId="77777777" w:rsidR="00A80223" w:rsidRDefault="0F90D236" w:rsidP="00DE00EF">
      <w:pPr>
        <w:spacing w:before="120" w:after="0"/>
        <w:ind w:left="426"/>
        <w:rPr>
          <w:szCs w:val="22"/>
        </w:rPr>
      </w:pPr>
      <w:r>
        <w:t xml:space="preserve">The applicant must not be affected by any conflict of interest and must have no equivalent relation in that respect with other applicants or parties involved in the actions. Any attempt by an applicant to obtain confidential information, enter into unlawful agreements with competitors or influence the evaluation committee or the contracting authority during the process of examining, clarifying, evaluating and comparing applications will lead to the rejection of its application and may result in administrative penalties according to the Financial Regulation in force. </w:t>
      </w:r>
    </w:p>
    <w:p w14:paraId="38C188EF" w14:textId="77777777" w:rsidR="00A80223" w:rsidRDefault="0F90D236" w:rsidP="00877BCA">
      <w:pPr>
        <w:spacing w:before="120" w:after="0"/>
        <w:ind w:left="426"/>
        <w:rPr>
          <w:szCs w:val="22"/>
        </w:rPr>
      </w:pPr>
      <w:r>
        <w:t xml:space="preserve">b) </w:t>
      </w:r>
      <w:r w:rsidRPr="0F90D236">
        <w:rPr>
          <w:u w:val="single"/>
        </w:rPr>
        <w:t>Respect for human rights as well as environmental legislation and core labour standards</w:t>
      </w:r>
      <w:r>
        <w:t xml:space="preserve"> </w:t>
      </w:r>
    </w:p>
    <w:p w14:paraId="73AF07F2" w14:textId="77777777" w:rsidR="00A80223" w:rsidRDefault="0F90D236" w:rsidP="00877BCA">
      <w:pPr>
        <w:spacing w:before="120" w:after="0"/>
        <w:ind w:left="426"/>
        <w:rPr>
          <w:szCs w:val="22"/>
        </w:rPr>
      </w:pPr>
      <w:r>
        <w:t>The applicant and its staff must comply with human rights. In particular, and in accordance with the applicable act, applicants who have been awarded contracts must comply with the environmental legislation including multilateral environmental agreements, and with the core labour standards as applicable and as defined in the relevant International Labour Organisation conventions (such as the conventions on freedom of association and collective bargaining; elimination of forced and compulsory labour; abolition of child labour).</w:t>
      </w:r>
    </w:p>
    <w:p w14:paraId="1CD0C7ED" w14:textId="77777777" w:rsidR="00A80223" w:rsidRPr="00417585" w:rsidRDefault="0F90D236" w:rsidP="0F90D236">
      <w:pPr>
        <w:keepNext/>
        <w:pBdr>
          <w:top w:val="single" w:sz="4" w:space="0" w:color="auto"/>
          <w:left w:val="single" w:sz="4" w:space="0" w:color="auto"/>
          <w:bottom w:val="single" w:sz="4" w:space="1" w:color="auto"/>
          <w:right w:val="single" w:sz="4" w:space="4" w:color="auto"/>
        </w:pBdr>
        <w:spacing w:before="120" w:after="0"/>
        <w:ind w:left="420"/>
        <w:rPr>
          <w:b/>
          <w:bCs/>
        </w:rPr>
      </w:pPr>
      <w:r w:rsidRPr="0F90D236">
        <w:rPr>
          <w:b/>
          <w:bCs/>
        </w:rPr>
        <w:t>Zero tolerance for sexual exploitation, abuse and harassment</w:t>
      </w:r>
    </w:p>
    <w:p w14:paraId="10929010" w14:textId="77777777" w:rsidR="00A80223" w:rsidRPr="005C7F3E" w:rsidRDefault="0F90D236" w:rsidP="003A723F">
      <w:pPr>
        <w:keepNext/>
        <w:pBdr>
          <w:top w:val="single" w:sz="4" w:space="0" w:color="auto"/>
          <w:left w:val="single" w:sz="4" w:space="0" w:color="auto"/>
          <w:bottom w:val="single" w:sz="4" w:space="1" w:color="auto"/>
          <w:right w:val="single" w:sz="4" w:space="4" w:color="auto"/>
        </w:pBdr>
        <w:spacing w:before="120" w:after="0"/>
        <w:ind w:left="420"/>
        <w:rPr>
          <w:szCs w:val="22"/>
        </w:rPr>
      </w:pPr>
      <w:r>
        <w:t xml:space="preserve">The European Commission applies a policy of 'zero tolerance' in relation to all wrongful conduct which has an impact on the professional credibility of the applicant.  </w:t>
      </w:r>
    </w:p>
    <w:p w14:paraId="61AD7BCB" w14:textId="77777777" w:rsidR="00A80223" w:rsidRDefault="0F90D236" w:rsidP="003A723F">
      <w:pPr>
        <w:keepNext/>
        <w:pBdr>
          <w:top w:val="single" w:sz="4" w:space="0" w:color="auto"/>
          <w:left w:val="single" w:sz="4" w:space="0" w:color="auto"/>
          <w:bottom w:val="single" w:sz="4" w:space="1" w:color="auto"/>
          <w:right w:val="single" w:sz="4" w:space="4" w:color="auto"/>
        </w:pBdr>
        <w:spacing w:before="120" w:after="0"/>
        <w:ind w:left="420"/>
        <w:rPr>
          <w:szCs w:val="22"/>
        </w:rPr>
      </w:pPr>
      <w:r>
        <w:t xml:space="preserve">Physical abuse or punishment, or threats of physical abuse, sexual abuse or exploitation, harassment and verbal abuse, as well as other forms of intimidation shall be prohibited. </w:t>
      </w:r>
    </w:p>
    <w:p w14:paraId="73DE04F7" w14:textId="44511934" w:rsidR="006F2E35" w:rsidRDefault="0783902A" w:rsidP="003A723F">
      <w:pPr>
        <w:keepNext/>
        <w:pBdr>
          <w:top w:val="single" w:sz="4" w:space="0" w:color="auto"/>
          <w:left w:val="single" w:sz="4" w:space="0" w:color="auto"/>
          <w:bottom w:val="single" w:sz="4" w:space="1" w:color="auto"/>
          <w:right w:val="single" w:sz="4" w:space="4" w:color="auto"/>
        </w:pBdr>
        <w:spacing w:before="120" w:after="0"/>
        <w:ind w:left="420"/>
        <w:rPr>
          <w:szCs w:val="22"/>
        </w:rPr>
      </w:pPr>
      <w:r>
        <w:t xml:space="preserve">Applicants </w:t>
      </w:r>
      <w:r w:rsidR="00DE00EF">
        <w:rPr>
          <w:szCs w:val="22"/>
        </w:rPr>
        <w:t xml:space="preserve">(and </w:t>
      </w:r>
      <w:r w:rsidR="00DE00EF" w:rsidRPr="005131D2">
        <w:rPr>
          <w:szCs w:val="22"/>
        </w:rPr>
        <w:t>affiliated entities</w:t>
      </w:r>
      <w:r w:rsidR="00DE00EF">
        <w:rPr>
          <w:szCs w:val="22"/>
        </w:rPr>
        <w:t>)</w:t>
      </w:r>
      <w:r w:rsidR="00DE00EF" w:rsidRPr="005131D2">
        <w:rPr>
          <w:szCs w:val="22"/>
        </w:rPr>
        <w:t xml:space="preserve"> </w:t>
      </w:r>
      <w:r>
        <w:t>other than (</w:t>
      </w:r>
      <w:proofErr w:type="spellStart"/>
      <w:r>
        <w:t>i</w:t>
      </w:r>
      <w:proofErr w:type="spellEnd"/>
      <w:r>
        <w:t>) natural persons, (ii) pillar-assessed entities and (iii) governments and other public bodies, whose application has been provisionally selected or placed in a reserve list shall assess their internal policy against sexual exploitation, abuse and harassment (SEA-H) through a self-evaluation questionnaire (Annex L). For grants of EUR 60 000 or less no self-evaluation is required. Such self-evaluation questionnaire is not part of the evaluation of the full application by the contracting authority, but is an administrative requirement. See Section 2.5.6 of the PRAG.</w:t>
      </w:r>
    </w:p>
    <w:p w14:paraId="27717C21" w14:textId="77777777" w:rsidR="00A80223" w:rsidRDefault="0F90D236" w:rsidP="00877BCA">
      <w:pPr>
        <w:spacing w:before="120" w:after="0"/>
        <w:ind w:left="426"/>
        <w:rPr>
          <w:szCs w:val="22"/>
        </w:rPr>
      </w:pPr>
      <w:r>
        <w:t>c)</w:t>
      </w:r>
      <w:r w:rsidRPr="0F90D236">
        <w:rPr>
          <w:u w:val="single"/>
        </w:rPr>
        <w:t xml:space="preserve"> Anti-corruption and anti-bribery</w:t>
      </w:r>
      <w:r>
        <w:t xml:space="preserve"> </w:t>
      </w:r>
    </w:p>
    <w:p w14:paraId="47B3D654" w14:textId="77777777" w:rsidR="00A80223" w:rsidRDefault="0F90D236" w:rsidP="00877BCA">
      <w:pPr>
        <w:spacing w:before="120" w:after="0"/>
        <w:ind w:left="426"/>
        <w:rPr>
          <w:szCs w:val="22"/>
        </w:rPr>
      </w:pPr>
      <w:r>
        <w:t>The applicant shall comply with all applicable laws, regulations and codes relating to anti-bribery and anti-corruption. The contracting authority reserves the right to suspend or cancel project financing if corrupt practices of any kind are discovered at any stage of the award process or during the execution of a contract and if the contracting authority fails to take all appropriate measures to remedy the situation. For the purposes of this provision, ‘corrupt practices’ are the offer of a bribe, gift, gratuity or commission to any person as an inducement or reward for performing or refraining from any act relating to the award of a contract or execution of a contract already concluded with the contracting authority.</w:t>
      </w:r>
    </w:p>
    <w:p w14:paraId="59323446" w14:textId="5FC43366" w:rsidR="00A80223" w:rsidRDefault="0F90D236" w:rsidP="00877BCA">
      <w:pPr>
        <w:spacing w:before="120" w:after="0"/>
        <w:ind w:left="426"/>
        <w:rPr>
          <w:szCs w:val="22"/>
        </w:rPr>
      </w:pPr>
      <w:r>
        <w:t xml:space="preserve">d) </w:t>
      </w:r>
      <w:r w:rsidRPr="0F90D236">
        <w:rPr>
          <w:u w:val="single"/>
        </w:rPr>
        <w:t>Unusual commercial expenses</w:t>
      </w:r>
      <w:r>
        <w:t xml:space="preserve"> </w:t>
      </w:r>
    </w:p>
    <w:p w14:paraId="760C4083" w14:textId="77777777" w:rsidR="00A80223" w:rsidRPr="002B370E" w:rsidRDefault="0F90D236" w:rsidP="00877BCA">
      <w:pPr>
        <w:spacing w:before="120" w:after="0"/>
        <w:ind w:left="426"/>
        <w:rPr>
          <w:szCs w:val="22"/>
        </w:rPr>
      </w:pPr>
      <w:r>
        <w:t>Applications will be rejected or contracts terminated if it emerges that the award or execution of a contract has given rise to unusual commercial expenses. 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payee who is not clearly identified or commissions paid to a company which has every appearance of being a front company.</w:t>
      </w:r>
    </w:p>
    <w:p w14:paraId="4F13CEAF" w14:textId="77777777" w:rsidR="00A80223" w:rsidRDefault="0F90D236" w:rsidP="00877BCA">
      <w:pPr>
        <w:spacing w:before="120" w:after="0"/>
        <w:ind w:left="426"/>
        <w:rPr>
          <w:szCs w:val="22"/>
        </w:rPr>
      </w:pPr>
      <w:r w:rsidRPr="00877BCA">
        <w:lastRenderedPageBreak/>
        <w:t>Grant</w:t>
      </w:r>
      <w:r w:rsidRPr="00DE00EF">
        <w:t xml:space="preserve"> </w:t>
      </w:r>
      <w:r>
        <w:t>beneficiaries found to have paid unusual commercial expenses on projects funded by the European Union are liable, depending on the seriousness of the facts observed, to have their contracts terminated or to be permanently excluded from receiving EU/EDF funds.</w:t>
      </w:r>
    </w:p>
    <w:p w14:paraId="45ECFB65" w14:textId="77777777" w:rsidR="00A80223" w:rsidRPr="00082D09" w:rsidRDefault="0F90D236" w:rsidP="00877BCA">
      <w:pPr>
        <w:spacing w:before="120" w:after="0"/>
        <w:ind w:left="426"/>
        <w:rPr>
          <w:u w:val="single"/>
        </w:rPr>
      </w:pPr>
      <w:r>
        <w:t xml:space="preserve">e) </w:t>
      </w:r>
      <w:r w:rsidRPr="0F90D236">
        <w:rPr>
          <w:u w:val="single"/>
        </w:rPr>
        <w:t>Breach of obligations, irregularities or fraud</w:t>
      </w:r>
    </w:p>
    <w:p w14:paraId="2ED1C51E" w14:textId="2B543FE2" w:rsidR="000F5BBF" w:rsidRPr="00DE00EF" w:rsidRDefault="0F90D236" w:rsidP="00535BE3">
      <w:pPr>
        <w:spacing w:before="120" w:after="0"/>
        <w:rPr>
          <w:szCs w:val="22"/>
        </w:rPr>
      </w:pPr>
      <w:r>
        <w:t xml:space="preserve">The contracting authority reserves the right to suspend or cancel the procedure, where the award procedure proves to have been subject to breach of obligations, irregularities or fraud. If breach of obligations, irregularities or fraud are discovered after the award of the contract, the contracting authority may refrain from concluding the </w:t>
      </w:r>
      <w:r w:rsidRPr="00DE00EF">
        <w:t>contract.</w:t>
      </w:r>
    </w:p>
    <w:p w14:paraId="3F4458DC" w14:textId="78A4CD16" w:rsidR="00357CC0" w:rsidRPr="00807DAF" w:rsidRDefault="0F90D236" w:rsidP="00B95230">
      <w:pPr>
        <w:pStyle w:val="Guidelines2"/>
        <w:numPr>
          <w:ilvl w:val="1"/>
          <w:numId w:val="68"/>
        </w:numPr>
      </w:pPr>
      <w:bookmarkStart w:id="29" w:name="_Toc75362979"/>
      <w:bookmarkStart w:id="30" w:name="_Toc75363202"/>
      <w:bookmarkStart w:id="31" w:name="_Toc75362980"/>
      <w:bookmarkStart w:id="32" w:name="_Toc75363203"/>
      <w:bookmarkStart w:id="33" w:name="_Toc75362981"/>
      <w:bookmarkStart w:id="34" w:name="_Toc75363204"/>
      <w:bookmarkStart w:id="35" w:name="_Toc145057271"/>
      <w:bookmarkEnd w:id="29"/>
      <w:bookmarkEnd w:id="30"/>
      <w:bookmarkEnd w:id="31"/>
      <w:bookmarkEnd w:id="32"/>
      <w:bookmarkEnd w:id="33"/>
      <w:bookmarkEnd w:id="34"/>
      <w:r>
        <w:t>How to apply and the procedures to follow</w:t>
      </w:r>
      <w:bookmarkEnd w:id="35"/>
    </w:p>
    <w:p w14:paraId="05049DB0" w14:textId="0C6E5A62" w:rsidR="008B4806" w:rsidRPr="000C4276" w:rsidRDefault="0F90D236" w:rsidP="00A47D20">
      <w:pPr>
        <w:pStyle w:val="Guidelines3"/>
        <w:numPr>
          <w:ilvl w:val="2"/>
          <w:numId w:val="68"/>
        </w:numPr>
        <w:outlineLvl w:val="2"/>
      </w:pPr>
      <w:bookmarkStart w:id="36" w:name="_Toc125454352"/>
      <w:bookmarkStart w:id="37" w:name="_Toc145057272"/>
      <w:r>
        <w:t>Concept note content</w:t>
      </w:r>
      <w:bookmarkEnd w:id="36"/>
      <w:bookmarkEnd w:id="37"/>
    </w:p>
    <w:p w14:paraId="25FB7867" w14:textId="5254A94B" w:rsidR="00FF0A1D" w:rsidRPr="00316F01" w:rsidRDefault="0F90D236" w:rsidP="0F90D236">
      <w:pPr>
        <w:spacing w:before="120" w:after="0"/>
        <w:rPr>
          <w:color w:val="000000" w:themeColor="text1"/>
        </w:rPr>
      </w:pPr>
      <w:r>
        <w:t>Applications must be submitted in accordance with the concept note instructions in the grant application form annexed to these guidelines (Annex A-</w:t>
      </w:r>
      <w:r w:rsidRPr="000A257B">
        <w:t>Part A).</w:t>
      </w:r>
      <w:r>
        <w:t xml:space="preserve"> </w:t>
      </w:r>
    </w:p>
    <w:p w14:paraId="3B46CFF3" w14:textId="77777777" w:rsidR="00FF0A1D" w:rsidRDefault="0F90D236" w:rsidP="0F90D236">
      <w:pPr>
        <w:spacing w:before="120" w:after="0"/>
        <w:rPr>
          <w:b/>
          <w:bCs/>
          <w:color w:val="000000" w:themeColor="text1"/>
        </w:rPr>
      </w:pPr>
      <w:r w:rsidRPr="0F90D236">
        <w:rPr>
          <w:b/>
          <w:bCs/>
          <w:color w:val="000000" w:themeColor="text1"/>
        </w:rPr>
        <w:t>Applicants must apply in English.</w:t>
      </w:r>
    </w:p>
    <w:p w14:paraId="0D7D96F4" w14:textId="1AC8779C" w:rsidR="00FF0A1D" w:rsidRDefault="0F90D236" w:rsidP="003A723F">
      <w:pPr>
        <w:spacing w:before="120" w:after="0"/>
      </w:pPr>
      <w:r>
        <w:t>Please note that:</w:t>
      </w:r>
    </w:p>
    <w:p w14:paraId="7E691FBD" w14:textId="77777777" w:rsidR="00084D5A" w:rsidRDefault="0F90D236" w:rsidP="003A723F">
      <w:pPr>
        <w:numPr>
          <w:ilvl w:val="0"/>
          <w:numId w:val="42"/>
        </w:numPr>
        <w:spacing w:before="120" w:after="0"/>
      </w:pPr>
      <w:r>
        <w:t xml:space="preserve">In the concept note, lead applicants must only provide an estimate of the requested EU contribution as well as an indicative percentage of that contribution in relation to the eligible costs of the action. A detailed budget is to be submitted only by the lead applicants invited to submit a full application in the second phase. </w:t>
      </w:r>
    </w:p>
    <w:p w14:paraId="4C158F96" w14:textId="32154DA2" w:rsidR="00084D5A" w:rsidRPr="000C4276" w:rsidRDefault="0F90D236" w:rsidP="003A723F">
      <w:pPr>
        <w:numPr>
          <w:ilvl w:val="0"/>
          <w:numId w:val="42"/>
        </w:numPr>
        <w:spacing w:before="120" w:after="0"/>
      </w:pPr>
      <w:r w:rsidRPr="0F90D236">
        <w:rPr>
          <w:b/>
          <w:bCs/>
        </w:rPr>
        <w:t xml:space="preserve">The </w:t>
      </w:r>
      <w:r w:rsidRPr="000A257B">
        <w:rPr>
          <w:b/>
          <w:bCs/>
        </w:rPr>
        <w:t>elements (</w:t>
      </w:r>
      <w:r w:rsidRPr="00004EAB">
        <w:rPr>
          <w:b/>
          <w:bCs/>
        </w:rPr>
        <w:t xml:space="preserve">co-applicant(s), </w:t>
      </w:r>
      <w:r w:rsidR="008B1D4C" w:rsidRPr="00004EAB">
        <w:rPr>
          <w:b/>
          <w:color w:val="000000"/>
          <w:szCs w:val="22"/>
        </w:rPr>
        <w:t>affiliated entity(</w:t>
      </w:r>
      <w:proofErr w:type="spellStart"/>
      <w:r w:rsidR="008B1D4C" w:rsidRPr="00004EAB">
        <w:rPr>
          <w:b/>
          <w:color w:val="000000"/>
          <w:szCs w:val="22"/>
        </w:rPr>
        <w:t>ies</w:t>
      </w:r>
      <w:proofErr w:type="spellEnd"/>
      <w:r w:rsidR="008B1D4C" w:rsidRPr="00004EAB">
        <w:rPr>
          <w:b/>
          <w:color w:val="000000"/>
          <w:szCs w:val="22"/>
        </w:rPr>
        <w:t>) (if any),</w:t>
      </w:r>
      <w:r w:rsidR="008B1D4C" w:rsidRPr="00004EAB">
        <w:rPr>
          <w:b/>
          <w:szCs w:val="22"/>
          <w:lang w:eastAsia="tr-TR"/>
        </w:rPr>
        <w:t xml:space="preserve"> </w:t>
      </w:r>
      <w:r w:rsidRPr="00004EAB">
        <w:rPr>
          <w:b/>
          <w:bCs/>
        </w:rPr>
        <w:t>associate(s) (if any), priority area(s), specific objective(s) and expected result(s))</w:t>
      </w:r>
      <w:r w:rsidRPr="0F90D236">
        <w:rPr>
          <w:b/>
          <w:bCs/>
        </w:rPr>
        <w:t xml:space="preserve"> outlined in the concept note may not be modified in the full application, </w:t>
      </w:r>
      <w:r>
        <w:t xml:space="preserve">except for the changes described below: </w:t>
      </w:r>
    </w:p>
    <w:p w14:paraId="051F0B9A" w14:textId="5A2390D3" w:rsidR="00617FFE" w:rsidRDefault="00084D5A" w:rsidP="003A723F">
      <w:pPr>
        <w:numPr>
          <w:ilvl w:val="0"/>
          <w:numId w:val="28"/>
        </w:numPr>
        <w:spacing w:before="120" w:after="0"/>
        <w:ind w:left="1134" w:hanging="425"/>
      </w:pPr>
      <w:r w:rsidRPr="000C4276">
        <w:t>The EU contribution may not vary from the initial estimate by more than 20%. Lead applicants are free to adapt the percentage of co-financing required within the minimum and maximum amount and percentages of co-financing, as laid down in these guidelines in Section 1.3.</w:t>
      </w:r>
      <w:r w:rsidRPr="0F90D236">
        <w:rPr>
          <w:color w:val="1F497D"/>
        </w:rPr>
        <w:t xml:space="preserve"> </w:t>
      </w:r>
    </w:p>
    <w:p w14:paraId="26814452" w14:textId="594523DD" w:rsidR="00D37CCA" w:rsidRPr="00D37CCA" w:rsidRDefault="0F90D236" w:rsidP="003A723F">
      <w:pPr>
        <w:numPr>
          <w:ilvl w:val="0"/>
          <w:numId w:val="28"/>
        </w:numPr>
        <w:spacing w:before="120" w:after="0"/>
        <w:ind w:left="1134" w:hanging="425"/>
      </w:pPr>
      <w:r>
        <w:t xml:space="preserve">The lead applicant may add, remove or replace one or more co-applicant(s) </w:t>
      </w:r>
      <w:r w:rsidR="00DE00EF" w:rsidRPr="000C4276">
        <w:rPr>
          <w:iCs/>
          <w:color w:val="000000"/>
        </w:rPr>
        <w:t>or affiliated entity(</w:t>
      </w:r>
      <w:proofErr w:type="spellStart"/>
      <w:r w:rsidR="00DE00EF" w:rsidRPr="000C4276">
        <w:rPr>
          <w:iCs/>
          <w:color w:val="000000"/>
        </w:rPr>
        <w:t>ies</w:t>
      </w:r>
      <w:proofErr w:type="spellEnd"/>
      <w:r w:rsidR="00DE00EF" w:rsidRPr="000C4276">
        <w:rPr>
          <w:iCs/>
          <w:color w:val="000000"/>
        </w:rPr>
        <w:t xml:space="preserve">) </w:t>
      </w:r>
      <w:r>
        <w:t>only in duly justified cases.</w:t>
      </w:r>
    </w:p>
    <w:p w14:paraId="0D148F2C" w14:textId="2177D2AF" w:rsidR="00617FFE" w:rsidRDefault="0F90D236" w:rsidP="00327137">
      <w:pPr>
        <w:spacing w:before="120" w:after="0"/>
        <w:ind w:left="720"/>
      </w:pPr>
      <w:r>
        <w:t>The lead applicant may adjust the duration of the action if unforeseen circumstances outside the scope of the applicants have taken place following the submission of the concept note and require such adaptation (risk of action not being carried out). In such cases the duration must remain within the limits imposed by the guidelines for applicants.</w:t>
      </w:r>
      <w:r w:rsidR="00DE00EF">
        <w:t xml:space="preserve"> </w:t>
      </w:r>
      <w:r>
        <w:t>Own contributions by the applicants can be replaced by other donors' contributions at any time.</w:t>
      </w:r>
    </w:p>
    <w:p w14:paraId="4051BAAE" w14:textId="77777777" w:rsidR="00327137" w:rsidRDefault="0F90D236" w:rsidP="0F90D236">
      <w:pPr>
        <w:spacing w:before="120" w:after="0"/>
        <w:ind w:left="720"/>
        <w:rPr>
          <w:highlight w:val="lightGray"/>
        </w:rPr>
      </w:pPr>
      <w:r w:rsidRPr="0F90D236">
        <w:rPr>
          <w:b/>
          <w:bCs/>
          <w:color w:val="000000" w:themeColor="text1"/>
        </w:rPr>
        <w:t xml:space="preserve">An explanation/justification of the relevant replacements/adjustments shall be included in section 2.1.1. of the </w:t>
      </w:r>
      <w:r w:rsidRPr="0F90D236">
        <w:rPr>
          <w:b/>
          <w:bCs/>
        </w:rPr>
        <w:t>full</w:t>
      </w:r>
      <w:r w:rsidRPr="0F90D236">
        <w:rPr>
          <w:b/>
          <w:bCs/>
          <w:color w:val="000000" w:themeColor="text1"/>
        </w:rPr>
        <w:t xml:space="preserve"> application form.</w:t>
      </w:r>
      <w:r w:rsidRPr="0F90D236">
        <w:rPr>
          <w:b/>
          <w:bCs/>
        </w:rPr>
        <w:t xml:space="preserve"> Should the explanation/justification not be accepted by the evaluation committee, the proposal may be rejected on that sole basis.</w:t>
      </w:r>
    </w:p>
    <w:p w14:paraId="1C554404" w14:textId="77777777" w:rsidR="00FF0A1D" w:rsidRPr="00AD391C" w:rsidRDefault="00FF0A1D" w:rsidP="0F90D236">
      <w:pPr>
        <w:numPr>
          <w:ilvl w:val="0"/>
          <w:numId w:val="42"/>
        </w:numPr>
        <w:spacing w:before="120" w:after="0"/>
        <w:rPr>
          <w:lang w:eastAsia="en-GB"/>
        </w:rPr>
      </w:pPr>
      <w:r w:rsidRPr="00AD391C">
        <w:rPr>
          <w:snapToGrid/>
          <w:lang w:eastAsia="en-GB"/>
        </w:rPr>
        <w:t>Only the concept note form will be evaluated. It is therefore of utmost importance that this document contains ALL relevant information concerning the action. No additional annexes should be sent.</w:t>
      </w:r>
    </w:p>
    <w:p w14:paraId="383E1E8F" w14:textId="77777777" w:rsidR="001256F1" w:rsidRPr="00535BE3" w:rsidRDefault="0F90D236" w:rsidP="0F90D236">
      <w:pPr>
        <w:spacing w:before="120" w:after="0"/>
        <w:rPr>
          <w:color w:val="000000" w:themeColor="text1"/>
          <w:lang w:eastAsia="en-GB"/>
        </w:rPr>
      </w:pPr>
      <w:r w:rsidRPr="0F90D236">
        <w:rPr>
          <w:color w:val="000000" w:themeColor="text1"/>
          <w:lang w:eastAsia="en-GB"/>
        </w:rPr>
        <w:t>Please complete the concept note form carefully and as clearly as possible so that it can be assessed properly.</w:t>
      </w:r>
    </w:p>
    <w:p w14:paraId="0E1EFC96" w14:textId="77777777" w:rsidR="00FF0A1D" w:rsidRPr="00AD391C" w:rsidRDefault="0F90D236" w:rsidP="003A723F">
      <w:pPr>
        <w:spacing w:before="120" w:after="0"/>
      </w:pPr>
      <w:r>
        <w:t>Any error or major discrepancy related to the concept note instructions may lead to the rejection of the concept note.</w:t>
      </w:r>
    </w:p>
    <w:p w14:paraId="2B7A0016" w14:textId="56243844" w:rsidR="00FF0A1D" w:rsidRDefault="0F90D236" w:rsidP="003A723F">
      <w:pPr>
        <w:spacing w:before="120" w:after="0"/>
      </w:pPr>
      <w:r>
        <w:t>Clarifications will only be requested when information provided is not sufficient to conduct an objective assessment.</w:t>
      </w:r>
    </w:p>
    <w:p w14:paraId="182E631B" w14:textId="34022D6A" w:rsidR="008B4806" w:rsidRPr="000C4276" w:rsidRDefault="0F90D236" w:rsidP="00A47D20">
      <w:pPr>
        <w:pStyle w:val="Guidelines3"/>
        <w:numPr>
          <w:ilvl w:val="2"/>
          <w:numId w:val="68"/>
        </w:numPr>
        <w:outlineLvl w:val="2"/>
      </w:pPr>
      <w:bookmarkStart w:id="38" w:name="_Toc125454353"/>
      <w:bookmarkStart w:id="39" w:name="_Toc145057273"/>
      <w:r>
        <w:t>Where and how to send concept notes</w:t>
      </w:r>
      <w:bookmarkEnd w:id="38"/>
      <w:bookmarkEnd w:id="39"/>
    </w:p>
    <w:p w14:paraId="26A7A2A3" w14:textId="4C23A543" w:rsidR="003869E6" w:rsidRPr="00921660" w:rsidRDefault="003869E6" w:rsidP="0F90D236">
      <w:pPr>
        <w:spacing w:before="120" w:after="0"/>
        <w:rPr>
          <w:lang w:eastAsia="en-GB"/>
        </w:rPr>
      </w:pPr>
      <w:r w:rsidRPr="00DC0141">
        <w:t xml:space="preserve">The concept </w:t>
      </w:r>
      <w:proofErr w:type="gramStart"/>
      <w:r w:rsidRPr="00DC0141">
        <w:t>note</w:t>
      </w:r>
      <w:proofErr w:type="gramEnd"/>
      <w:r w:rsidRPr="00DC0141">
        <w:t xml:space="preserve"> and declaration by the lead applicant</w:t>
      </w:r>
      <w:r>
        <w:t xml:space="preserve"> </w:t>
      </w:r>
      <w:r w:rsidRPr="00DC0141">
        <w:t xml:space="preserve">(to be found in </w:t>
      </w:r>
      <w:r w:rsidRPr="0F90D236">
        <w:rPr>
          <w:b/>
          <w:bCs/>
        </w:rPr>
        <w:t>Part A</w:t>
      </w:r>
      <w:r w:rsidRPr="00DC0141">
        <w:t xml:space="preserve"> </w:t>
      </w:r>
      <w:r w:rsidRPr="0F90D236">
        <w:rPr>
          <w:b/>
          <w:bCs/>
        </w:rPr>
        <w:t xml:space="preserve">Section 3 </w:t>
      </w:r>
      <w:r w:rsidRPr="00DC0141">
        <w:t xml:space="preserve">of the grant application form) must be </w:t>
      </w:r>
      <w:r w:rsidRPr="00DC0141">
        <w:rPr>
          <w:snapToGrid/>
          <w:lang w:eastAsia="en-GB"/>
        </w:rPr>
        <w:t xml:space="preserve">submitted in </w:t>
      </w:r>
      <w:r w:rsidRPr="0F90D236">
        <w:rPr>
          <w:b/>
          <w:bCs/>
          <w:snapToGrid/>
          <w:lang w:eastAsia="en-GB"/>
        </w:rPr>
        <w:t>one original</w:t>
      </w:r>
      <w:r w:rsidRPr="00DC0141">
        <w:rPr>
          <w:snapToGrid/>
          <w:lang w:eastAsia="en-GB"/>
        </w:rPr>
        <w:t xml:space="preserve"> and </w:t>
      </w:r>
      <w:r w:rsidRPr="0F90D236">
        <w:rPr>
          <w:b/>
          <w:bCs/>
          <w:snapToGrid/>
          <w:lang w:eastAsia="en-GB"/>
        </w:rPr>
        <w:t>two copies</w:t>
      </w:r>
      <w:r w:rsidRPr="00DC0141">
        <w:rPr>
          <w:snapToGrid/>
          <w:lang w:eastAsia="en-GB"/>
        </w:rPr>
        <w:t xml:space="preserve"> in A4 size, each bound.</w:t>
      </w:r>
      <w:r w:rsidR="00921660" w:rsidRPr="00921660">
        <w:t xml:space="preserve"> </w:t>
      </w:r>
      <w:r w:rsidR="00921660" w:rsidRPr="00241217">
        <w:t xml:space="preserve">Hand-written </w:t>
      </w:r>
      <w:r w:rsidR="00921660">
        <w:t>concept notes</w:t>
      </w:r>
      <w:r w:rsidR="00921660" w:rsidRPr="00241217">
        <w:t xml:space="preserve"> will not be accepted</w:t>
      </w:r>
      <w:r w:rsidR="00921660">
        <w:t>.</w:t>
      </w:r>
    </w:p>
    <w:p w14:paraId="08170795" w14:textId="68FBBB62" w:rsidR="003869E6" w:rsidRPr="00DC0141" w:rsidRDefault="003869E6" w:rsidP="0783902A">
      <w:pPr>
        <w:spacing w:before="120" w:after="0"/>
        <w:rPr>
          <w:lang w:eastAsia="en-GB"/>
        </w:rPr>
      </w:pPr>
      <w:r w:rsidRPr="00DC0141">
        <w:rPr>
          <w:snapToGrid/>
          <w:lang w:eastAsia="en-GB"/>
        </w:rPr>
        <w:t xml:space="preserve">An electronic version of the concept note must also be submitted. A </w:t>
      </w:r>
      <w:proofErr w:type="spellStart"/>
      <w:r w:rsidRPr="00DC0141">
        <w:rPr>
          <w:snapToGrid/>
          <w:lang w:eastAsia="en-GB"/>
        </w:rPr>
        <w:t>CD-Rom</w:t>
      </w:r>
      <w:proofErr w:type="spellEnd"/>
      <w:r>
        <w:rPr>
          <w:snapToGrid/>
          <w:lang w:eastAsia="en-GB"/>
        </w:rPr>
        <w:t xml:space="preserve"> or USB</w:t>
      </w:r>
      <w:r w:rsidRPr="0783902A">
        <w:t xml:space="preserve"> </w:t>
      </w:r>
      <w:r w:rsidRPr="00DC0141">
        <w:rPr>
          <w:snapToGrid/>
          <w:lang w:eastAsia="en-GB"/>
        </w:rPr>
        <w:t xml:space="preserve">with the concept note in electronic </w:t>
      </w:r>
      <w:r w:rsidRPr="000A257B">
        <w:rPr>
          <w:snapToGrid/>
          <w:lang w:eastAsia="en-GB"/>
        </w:rPr>
        <w:t xml:space="preserve">format </w:t>
      </w:r>
      <w:r w:rsidR="004F3444" w:rsidRPr="000A257B">
        <w:rPr>
          <w:snapToGrid/>
          <w:lang w:eastAsia="en-GB"/>
        </w:rPr>
        <w:t>(</w:t>
      </w:r>
      <w:r w:rsidR="004F3444" w:rsidRPr="00004EAB">
        <w:rPr>
          <w:snapToGrid/>
          <w:lang w:eastAsia="en-GB"/>
        </w:rPr>
        <w:t>in Word format</w:t>
      </w:r>
      <w:r w:rsidR="004F3444" w:rsidRPr="000A257B">
        <w:rPr>
          <w:snapToGrid/>
          <w:lang w:eastAsia="en-GB"/>
        </w:rPr>
        <w:t xml:space="preserve">) </w:t>
      </w:r>
      <w:r w:rsidRPr="000A257B">
        <w:rPr>
          <w:snapToGrid/>
          <w:lang w:eastAsia="en-GB"/>
        </w:rPr>
        <w:t xml:space="preserve">will be included, along with the paper version, in a sealed envelope as </w:t>
      </w:r>
      <w:r w:rsidRPr="000A257B">
        <w:rPr>
          <w:snapToGrid/>
          <w:lang w:eastAsia="en-GB"/>
        </w:rPr>
        <w:lastRenderedPageBreak/>
        <w:t xml:space="preserve">described below. </w:t>
      </w:r>
      <w:r w:rsidRPr="000A257B">
        <w:t xml:space="preserve">The electronic file must contain </w:t>
      </w:r>
      <w:r w:rsidRPr="000A257B">
        <w:rPr>
          <w:b/>
          <w:bCs/>
        </w:rPr>
        <w:t>exactly the same</w:t>
      </w:r>
      <w:r w:rsidRPr="000A257B">
        <w:t xml:space="preserve"> application as the paper version enclosed. </w:t>
      </w:r>
      <w:r w:rsidRPr="00004EAB">
        <w:t xml:space="preserve">In case of inconsistency, the paper version will be </w:t>
      </w:r>
      <w:proofErr w:type="gramStart"/>
      <w:r w:rsidRPr="00004EAB">
        <w:t>taken into account</w:t>
      </w:r>
      <w:proofErr w:type="gramEnd"/>
      <w:r w:rsidRPr="00004EAB">
        <w:t>.</w:t>
      </w:r>
    </w:p>
    <w:p w14:paraId="428BB467" w14:textId="2290DF58" w:rsidR="00543EF1" w:rsidRDefault="003869E6" w:rsidP="003A723F">
      <w:pPr>
        <w:spacing w:before="120" w:after="0"/>
      </w:pPr>
      <w:r w:rsidRPr="00DC0141">
        <w:t xml:space="preserve">The envelope must bear the </w:t>
      </w:r>
      <w:r w:rsidRPr="0F90D236">
        <w:rPr>
          <w:b/>
          <w:bCs/>
          <w:u w:val="single"/>
        </w:rPr>
        <w:t>reference number and the title of the call for proposals</w:t>
      </w:r>
      <w:r w:rsidRPr="00DC0141">
        <w:t xml:space="preserve">, together with the full name and address of the lead applicant, and the words </w:t>
      </w:r>
      <w:r w:rsidR="00E53C7E" w:rsidRPr="0783902A">
        <w:t>“</w:t>
      </w:r>
      <w:r w:rsidRPr="0F90D236">
        <w:rPr>
          <w:b/>
          <w:bCs/>
        </w:rPr>
        <w:t>NOT TO BE OPENED BEFORE THE OPENING SESSION</w:t>
      </w:r>
      <w:r w:rsidR="00E53C7E" w:rsidRPr="0783902A">
        <w:t>”</w:t>
      </w:r>
      <w:r w:rsidRPr="00DC0141">
        <w:t xml:space="preserve"> and “</w:t>
      </w:r>
      <w:r w:rsidRPr="0F90D236">
        <w:rPr>
          <w:b/>
          <w:bCs/>
        </w:rPr>
        <w:t>AÇILIŞ OTURUMUNDAN ÖNCE AÇMAYINIZ</w:t>
      </w:r>
      <w:r w:rsidRPr="0783902A">
        <w:t>”.</w:t>
      </w:r>
      <w:r>
        <w:tab/>
      </w:r>
    </w:p>
    <w:p w14:paraId="768A93BA" w14:textId="0494A5B1" w:rsidR="003869E6" w:rsidRPr="00DC0141" w:rsidRDefault="0F90D236" w:rsidP="003A723F">
      <w:pPr>
        <w:spacing w:before="120" w:after="0"/>
      </w:pPr>
      <w:r>
        <w:t>To reduce expense and waste, we strongly recommend that you do not use plastic folders or dividers. Please also use double-sided printing if possible</w:t>
      </w:r>
    </w:p>
    <w:p w14:paraId="3D52340B" w14:textId="77777777" w:rsidR="003869E6" w:rsidRPr="00DC0141" w:rsidRDefault="0F90D236" w:rsidP="003A723F">
      <w:pPr>
        <w:spacing w:before="120" w:after="0"/>
      </w:pPr>
      <w:r>
        <w:t>Concept notes must be submitted in a sealed envelope by registered mail, private courier service or by hand-delivery (a signed and dated certificate of receipt will be given to the deliverer) to the address below:</w:t>
      </w:r>
    </w:p>
    <w:p w14:paraId="15A34C03" w14:textId="77777777" w:rsidR="003869E6" w:rsidRDefault="0F90D236" w:rsidP="003A723F">
      <w:pPr>
        <w:spacing w:before="120" w:after="0"/>
        <w:ind w:left="425"/>
      </w:pPr>
      <w:r w:rsidRPr="0F90D236">
        <w:rPr>
          <w:b/>
          <w:bCs/>
          <w:u w:val="single"/>
        </w:rPr>
        <w:t>Postal Address / Address for hand delivery:</w:t>
      </w:r>
    </w:p>
    <w:p w14:paraId="308056A7" w14:textId="6FE13891" w:rsidR="00E53C7E" w:rsidRDefault="0783902A" w:rsidP="009C7444">
      <w:pPr>
        <w:spacing w:before="40" w:after="0"/>
        <w:ind w:left="425"/>
      </w:pPr>
      <w:proofErr w:type="spellStart"/>
      <w:r>
        <w:t>Merkezi</w:t>
      </w:r>
      <w:proofErr w:type="spellEnd"/>
      <w:r>
        <w:t xml:space="preserve"> </w:t>
      </w:r>
      <w:proofErr w:type="spellStart"/>
      <w:r>
        <w:t>Finans</w:t>
      </w:r>
      <w:proofErr w:type="spellEnd"/>
      <w:r>
        <w:t xml:space="preserve"> </w:t>
      </w:r>
      <w:proofErr w:type="spellStart"/>
      <w:r>
        <w:t>ve</w:t>
      </w:r>
      <w:proofErr w:type="spellEnd"/>
      <w:r>
        <w:t xml:space="preserve"> </w:t>
      </w:r>
      <w:proofErr w:type="spellStart"/>
      <w:r>
        <w:t>İhale</w:t>
      </w:r>
      <w:proofErr w:type="spellEnd"/>
      <w:r>
        <w:t xml:space="preserve"> </w:t>
      </w:r>
      <w:proofErr w:type="spellStart"/>
      <w:r>
        <w:t>Birimi</w:t>
      </w:r>
      <w:proofErr w:type="spellEnd"/>
    </w:p>
    <w:p w14:paraId="34A7C38A" w14:textId="1CF44492" w:rsidR="003869E6" w:rsidRPr="009E24AE" w:rsidRDefault="0F90D236" w:rsidP="009C7444">
      <w:pPr>
        <w:spacing w:before="40" w:after="0"/>
        <w:ind w:left="425"/>
      </w:pPr>
      <w:r>
        <w:t>(Central Finance and Contracts Unit)</w:t>
      </w:r>
    </w:p>
    <w:p w14:paraId="20F3BE4D" w14:textId="77777777" w:rsidR="003869E6" w:rsidRPr="00D6320B" w:rsidRDefault="0783902A" w:rsidP="009C7444">
      <w:pPr>
        <w:spacing w:before="40" w:after="0"/>
        <w:ind w:left="425"/>
      </w:pPr>
      <w:r>
        <w:t xml:space="preserve">T.C. </w:t>
      </w:r>
      <w:proofErr w:type="spellStart"/>
      <w:r>
        <w:t>Hazine</w:t>
      </w:r>
      <w:proofErr w:type="spellEnd"/>
      <w:r>
        <w:t xml:space="preserve"> </w:t>
      </w:r>
      <w:proofErr w:type="spellStart"/>
      <w:r>
        <w:t>ve</w:t>
      </w:r>
      <w:proofErr w:type="spellEnd"/>
      <w:r>
        <w:t xml:space="preserve"> </w:t>
      </w:r>
      <w:proofErr w:type="spellStart"/>
      <w:r>
        <w:t>Maliye</w:t>
      </w:r>
      <w:proofErr w:type="spellEnd"/>
      <w:r>
        <w:t xml:space="preserve"> </w:t>
      </w:r>
      <w:proofErr w:type="spellStart"/>
      <w:r>
        <w:t>Bakanlığı</w:t>
      </w:r>
      <w:proofErr w:type="spellEnd"/>
      <w:r>
        <w:t xml:space="preserve"> E Blok</w:t>
      </w:r>
    </w:p>
    <w:p w14:paraId="41D86311" w14:textId="5040B097" w:rsidR="003869E6" w:rsidRPr="00D6320B" w:rsidRDefault="0783902A" w:rsidP="009C7444">
      <w:pPr>
        <w:spacing w:before="40" w:after="0"/>
        <w:ind w:left="425"/>
      </w:pPr>
      <w:proofErr w:type="spellStart"/>
      <w:r>
        <w:t>İnönü</w:t>
      </w:r>
      <w:proofErr w:type="spellEnd"/>
      <w:r>
        <w:t xml:space="preserve"> </w:t>
      </w:r>
      <w:proofErr w:type="spellStart"/>
      <w:r>
        <w:t>Bulvarı</w:t>
      </w:r>
      <w:proofErr w:type="spellEnd"/>
      <w:r>
        <w:t xml:space="preserve"> No: 36 </w:t>
      </w:r>
      <w:r w:rsidR="005065B1">
        <w:t xml:space="preserve">06490 </w:t>
      </w:r>
      <w:proofErr w:type="spellStart"/>
      <w:r>
        <w:t>Emek</w:t>
      </w:r>
      <w:proofErr w:type="spellEnd"/>
      <w:r>
        <w:t xml:space="preserve"> – Ankara / TÜRKİYE</w:t>
      </w:r>
    </w:p>
    <w:p w14:paraId="255D6DE0" w14:textId="6ACD5D46" w:rsidR="003869E6" w:rsidRPr="00936379" w:rsidRDefault="0783902A" w:rsidP="0783902A">
      <w:pPr>
        <w:spacing w:before="40" w:after="0"/>
        <w:ind w:left="425"/>
        <w:rPr>
          <w:b/>
          <w:bCs/>
        </w:rPr>
      </w:pPr>
      <w:r w:rsidRPr="0783902A">
        <w:rPr>
          <w:b/>
          <w:bCs/>
        </w:rPr>
        <w:t>Title: Grant Scheme for Türkiye-EU Business Dialogue II (TEBD II)</w:t>
      </w:r>
    </w:p>
    <w:p w14:paraId="5F021625" w14:textId="237CB3CE" w:rsidR="00A0003C" w:rsidRPr="006C1A98" w:rsidRDefault="0F90D236" w:rsidP="0F90D236">
      <w:pPr>
        <w:spacing w:before="40" w:after="0"/>
        <w:ind w:left="425"/>
        <w:rPr>
          <w:b/>
          <w:bCs/>
        </w:rPr>
      </w:pPr>
      <w:r w:rsidRPr="0F90D236">
        <w:rPr>
          <w:b/>
          <w:bCs/>
        </w:rPr>
        <w:t xml:space="preserve">Reference: TR2021/W1T7/A02/OT02-2 – </w:t>
      </w:r>
      <w:r w:rsidR="003D5758" w:rsidRPr="003D5758">
        <w:rPr>
          <w:b/>
          <w:bCs/>
        </w:rPr>
        <w:t>EuropeAid/179766/ID/ACT/TR</w:t>
      </w:r>
    </w:p>
    <w:p w14:paraId="7FAD9A69" w14:textId="77777777" w:rsidR="003869E6" w:rsidRPr="00DC0141" w:rsidRDefault="0F90D236" w:rsidP="003A723F">
      <w:pPr>
        <w:spacing w:before="120" w:after="0"/>
      </w:pPr>
      <w:r>
        <w:t xml:space="preserve">Concept notes sent by any other means (e.g. by fax or by e-mail) or delivered to other addresses will be rejected. </w:t>
      </w:r>
    </w:p>
    <w:p w14:paraId="28CAB796" w14:textId="0FBD5794" w:rsidR="008B4806" w:rsidRPr="000C4276" w:rsidRDefault="0F90D236" w:rsidP="0F90D236">
      <w:pPr>
        <w:spacing w:before="120" w:after="0"/>
        <w:rPr>
          <w:b/>
          <w:bCs/>
          <w:u w:val="single"/>
        </w:rPr>
      </w:pPr>
      <w:r w:rsidRPr="0F90D236">
        <w:rPr>
          <w:b/>
          <w:bCs/>
          <w:u w:val="single"/>
        </w:rPr>
        <w:t>Please note that incomplete concept notes may be rejected</w:t>
      </w:r>
      <w:r w:rsidRPr="0F90D236">
        <w:rPr>
          <w:b/>
          <w:bCs/>
        </w:rPr>
        <w:t xml:space="preserve">. Lead applicants are advised to verify that their concept note is complete using the checklist for concept note (Part A Section 2 of the grant application form). </w:t>
      </w:r>
    </w:p>
    <w:p w14:paraId="03F1AEBE" w14:textId="17B97CD4" w:rsidR="008B4806" w:rsidRPr="000C4276" w:rsidRDefault="0F90D236" w:rsidP="00A47D20">
      <w:pPr>
        <w:pStyle w:val="Guidelines3"/>
        <w:numPr>
          <w:ilvl w:val="2"/>
          <w:numId w:val="68"/>
        </w:numPr>
        <w:outlineLvl w:val="2"/>
      </w:pPr>
      <w:bookmarkStart w:id="40" w:name="_Toc145057274"/>
      <w:bookmarkStart w:id="41" w:name="_Toc125454354"/>
      <w:r>
        <w:t>Deadline for submission of concept notes</w:t>
      </w:r>
      <w:bookmarkEnd w:id="40"/>
      <w:r>
        <w:t xml:space="preserve"> </w:t>
      </w:r>
      <w:bookmarkEnd w:id="41"/>
    </w:p>
    <w:p w14:paraId="69C959CE" w14:textId="77777777" w:rsidR="00D34B88" w:rsidRPr="006B09BD" w:rsidRDefault="0F90D236" w:rsidP="003A723F">
      <w:pPr>
        <w:spacing w:before="120" w:after="0"/>
      </w:pPr>
      <w:r>
        <w:t xml:space="preserve">The applicants' attention is drawn to the fact that there are two different systems for sending concept notes: </w:t>
      </w:r>
      <w:r w:rsidRPr="0F90D236">
        <w:rPr>
          <w:b/>
          <w:bCs/>
        </w:rPr>
        <w:t>one is by post or private courier service, the other is by hand delivery.</w:t>
      </w:r>
    </w:p>
    <w:p w14:paraId="6C87292C" w14:textId="77777777" w:rsidR="00D34B88" w:rsidRPr="000C4276" w:rsidRDefault="00D34B88" w:rsidP="003A723F">
      <w:pPr>
        <w:spacing w:before="120" w:after="0"/>
      </w:pPr>
      <w:r w:rsidRPr="006B09BD">
        <w:t>In the first case, the concept note must be sent before the</w:t>
      </w:r>
      <w:r w:rsidR="0022120B" w:rsidRPr="006B09BD">
        <w:t xml:space="preserve"> date</w:t>
      </w:r>
      <w:r w:rsidRPr="006B09BD">
        <w:t xml:space="preserve"> for submission, as evidenced by the postmark or deposit slip</w:t>
      </w:r>
      <w:r w:rsidR="00DD35D6" w:rsidRPr="006B09BD">
        <w:rPr>
          <w:rStyle w:val="FootnoteReference"/>
        </w:rPr>
        <w:footnoteReference w:id="12"/>
      </w:r>
      <w:r w:rsidRPr="006B09BD">
        <w:t>, but in the second case it is the acknowledgment of receipt given at the time of the delivery of the concept note which will serve as proof.</w:t>
      </w:r>
    </w:p>
    <w:p w14:paraId="1843680F" w14:textId="7AC6B187" w:rsidR="00CA6D19" w:rsidRPr="000C4276" w:rsidRDefault="0F90D236" w:rsidP="003A723F">
      <w:pPr>
        <w:spacing w:before="120" w:after="0"/>
      </w:pPr>
      <w:r>
        <w:t xml:space="preserve">The deadline for the submission of concept notes </w:t>
      </w:r>
      <w:r w:rsidRPr="00AF7C3C">
        <w:t>is</w:t>
      </w:r>
      <w:r w:rsidR="00AF7C3C" w:rsidRPr="00AF7C3C">
        <w:rPr>
          <w:b/>
          <w:bCs/>
        </w:rPr>
        <w:t xml:space="preserve"> </w:t>
      </w:r>
      <w:r w:rsidR="000949CB">
        <w:rPr>
          <w:b/>
          <w:bCs/>
        </w:rPr>
        <w:t>16</w:t>
      </w:r>
      <w:r w:rsidR="00005F89">
        <w:rPr>
          <w:b/>
          <w:bCs/>
        </w:rPr>
        <w:t xml:space="preserve"> April 2024</w:t>
      </w:r>
      <w:r w:rsidR="00D434F9" w:rsidRPr="00AF7C3C">
        <w:rPr>
          <w:b/>
          <w:bCs/>
        </w:rPr>
        <w:t xml:space="preserve"> </w:t>
      </w:r>
      <w:r>
        <w:t xml:space="preserve">as evidenced by the date of dispatch, the postmark or the date of the deposit slip. In the case of hand-deliveries, the deadline for receipt is at </w:t>
      </w:r>
      <w:r w:rsidR="000949CB">
        <w:rPr>
          <w:b/>
          <w:bCs/>
        </w:rPr>
        <w:t>16</w:t>
      </w:r>
      <w:r w:rsidR="00005F89">
        <w:rPr>
          <w:b/>
          <w:bCs/>
        </w:rPr>
        <w:t xml:space="preserve"> April 2024</w:t>
      </w:r>
      <w:r w:rsidR="00AF7C3C" w:rsidRPr="00AF7C3C">
        <w:rPr>
          <w:b/>
          <w:bCs/>
        </w:rPr>
        <w:t xml:space="preserve"> </w:t>
      </w:r>
      <w:r w:rsidRPr="0F90D236">
        <w:rPr>
          <w:b/>
          <w:bCs/>
        </w:rPr>
        <w:t>before 17:00 hours</w:t>
      </w:r>
      <w:r>
        <w:t xml:space="preserve"> </w:t>
      </w:r>
      <w:r w:rsidRPr="00877BCA">
        <w:rPr>
          <w:b/>
        </w:rPr>
        <w:t>(local time)</w:t>
      </w:r>
      <w:r>
        <w:t>, as evidenced by the signed and dated receipt. Any concept note submitted after the deadline will be rejected.</w:t>
      </w:r>
    </w:p>
    <w:p w14:paraId="6CFBD0A7" w14:textId="77777777" w:rsidR="00B41A93" w:rsidRDefault="00A830CA" w:rsidP="0F90D236">
      <w:pPr>
        <w:spacing w:before="120" w:after="0"/>
        <w:rPr>
          <w:lang w:bidi="kn-IN"/>
        </w:rPr>
      </w:pPr>
      <w:r w:rsidRPr="0F90D236">
        <w:rPr>
          <w:lang w:bidi="kn-IN"/>
        </w:rPr>
        <w:t>T</w:t>
      </w:r>
      <w:r w:rsidRPr="0F90D236">
        <w:rPr>
          <w:rFonts w:eastAsia="Calibri"/>
        </w:rPr>
        <w:t xml:space="preserve">he contracting authority may, for reasons of administrative efficiency, reject any concept note submitted on time to the postal service but received, for any reason beyond the contracting authority's control, after the effective date of approval </w:t>
      </w:r>
      <w:r w:rsidRPr="0F90D236">
        <w:rPr>
          <w:snapToGrid/>
          <w:lang w:eastAsia="en-GB"/>
        </w:rPr>
        <w:t>of the concept note evaluation</w:t>
      </w:r>
      <w:r w:rsidRPr="0F90D236">
        <w:rPr>
          <w:rFonts w:eastAsia="Calibri"/>
        </w:rPr>
        <w:t>, if accepting concept notes that were submitted on time but arrived late would considerably delay the evaluation procedure</w:t>
      </w:r>
      <w:r w:rsidR="005E6E5B" w:rsidRPr="0F90D236">
        <w:rPr>
          <w:rFonts w:eastAsia="Calibri"/>
        </w:rPr>
        <w:t>)</w:t>
      </w:r>
      <w:r w:rsidRPr="0F90D236">
        <w:rPr>
          <w:rFonts w:eastAsia="Calibri"/>
        </w:rPr>
        <w:t xml:space="preserve"> or jeopardise decisions already taken and notified</w:t>
      </w:r>
      <w:r w:rsidR="00DE52E6" w:rsidRPr="004545D0">
        <w:rPr>
          <w:lang w:bidi="kn-IN"/>
        </w:rPr>
        <w:t xml:space="preserve"> (s</w:t>
      </w:r>
      <w:r w:rsidR="00175DE7" w:rsidRPr="004545D0">
        <w:rPr>
          <w:lang w:bidi="kn-IN"/>
        </w:rPr>
        <w:t>ee indicative c</w:t>
      </w:r>
      <w:r w:rsidR="00B41A93" w:rsidRPr="004545D0">
        <w:rPr>
          <w:lang w:bidi="kn-IN"/>
        </w:rPr>
        <w:t xml:space="preserve">alendar under </w:t>
      </w:r>
      <w:r w:rsidR="00AA0B45" w:rsidRPr="004545D0">
        <w:rPr>
          <w:lang w:bidi="kn-IN"/>
        </w:rPr>
        <w:t>S</w:t>
      </w:r>
      <w:r w:rsidR="00B41A93" w:rsidRPr="004545D0">
        <w:rPr>
          <w:lang w:bidi="kn-IN"/>
        </w:rPr>
        <w:t>ection 2.5.2)</w:t>
      </w:r>
      <w:r w:rsidR="005A3D30">
        <w:rPr>
          <w:lang w:bidi="kn-IN"/>
        </w:rPr>
        <w:t>.</w:t>
      </w:r>
    </w:p>
    <w:p w14:paraId="13808245" w14:textId="3E7542F5" w:rsidR="008B4806" w:rsidRPr="000C4276" w:rsidRDefault="0F90D236" w:rsidP="00A47D20">
      <w:pPr>
        <w:pStyle w:val="Guidelines3"/>
        <w:numPr>
          <w:ilvl w:val="2"/>
          <w:numId w:val="68"/>
        </w:numPr>
        <w:outlineLvl w:val="2"/>
      </w:pPr>
      <w:bookmarkStart w:id="42" w:name="_Toc75362987"/>
      <w:bookmarkStart w:id="43" w:name="_Toc75363210"/>
      <w:bookmarkStart w:id="44" w:name="_Toc125454355"/>
      <w:bookmarkStart w:id="45" w:name="_Toc145057275"/>
      <w:bookmarkEnd w:id="42"/>
      <w:bookmarkEnd w:id="43"/>
      <w:r>
        <w:t>Further information about concept notes</w:t>
      </w:r>
      <w:bookmarkEnd w:id="44"/>
      <w:bookmarkEnd w:id="45"/>
    </w:p>
    <w:p w14:paraId="4CD2CAC9" w14:textId="6962EFE4" w:rsidR="0021615E" w:rsidRPr="00266037" w:rsidRDefault="0783902A" w:rsidP="0783902A">
      <w:pPr>
        <w:spacing w:before="120" w:after="0"/>
        <w:rPr>
          <w:color w:val="FF0000"/>
        </w:rPr>
      </w:pPr>
      <w:r w:rsidRPr="000A257B">
        <w:t xml:space="preserve">An information </w:t>
      </w:r>
      <w:r w:rsidRPr="00004EAB">
        <w:t>meeting(s)</w:t>
      </w:r>
      <w:r w:rsidRPr="000A257B">
        <w:t xml:space="preserve"> on this call for proposals will be held. </w:t>
      </w:r>
      <w:r w:rsidRPr="00004EAB">
        <w:t>For the exact date(s) and location(s) of the meeting(s), please follow the CFCU (</w:t>
      </w:r>
      <w:hyperlink r:id="rId25">
        <w:r w:rsidRPr="00004EAB">
          <w:rPr>
            <w:rStyle w:val="Hyperlink"/>
          </w:rPr>
          <w:t>http://www.cfcu.gov.tr</w:t>
        </w:r>
      </w:hyperlink>
      <w:r w:rsidRPr="00004EAB">
        <w:t>), the Ministry of Foreign Affairs-Directorate for EU Affairs (</w:t>
      </w:r>
      <w:hyperlink r:id="rId26">
        <w:r w:rsidRPr="00004EAB">
          <w:rPr>
            <w:rStyle w:val="Hyperlink"/>
          </w:rPr>
          <w:t>http://www.ab.gov.tr</w:t>
        </w:r>
      </w:hyperlink>
      <w:r w:rsidRPr="00004EAB">
        <w:t xml:space="preserve">), the Union of Chambers and Commodity Exchanges of </w:t>
      </w:r>
      <w:proofErr w:type="spellStart"/>
      <w:r w:rsidRPr="00004EAB">
        <w:t>Türkiye</w:t>
      </w:r>
      <w:proofErr w:type="spellEnd"/>
      <w:r w:rsidRPr="00004EAB">
        <w:t xml:space="preserve"> (TOBB) (</w:t>
      </w:r>
      <w:hyperlink r:id="rId27">
        <w:r w:rsidRPr="00004EAB">
          <w:rPr>
            <w:rStyle w:val="Hyperlink"/>
          </w:rPr>
          <w:t>http://www.tobb.org.tr</w:t>
        </w:r>
      </w:hyperlink>
      <w:r w:rsidRPr="00004EAB">
        <w:t xml:space="preserve">) and </w:t>
      </w:r>
      <w:proofErr w:type="spellStart"/>
      <w:r w:rsidRPr="00004EAB">
        <w:t>Eurochambres</w:t>
      </w:r>
      <w:proofErr w:type="spellEnd"/>
      <w:r w:rsidRPr="00004EAB">
        <w:t xml:space="preserve"> (</w:t>
      </w:r>
      <w:hyperlink r:id="rId28">
        <w:r w:rsidRPr="00004EAB">
          <w:rPr>
            <w:rStyle w:val="Hyperlink"/>
          </w:rPr>
          <w:t>https://www.eurochambres.eu</w:t>
        </w:r>
      </w:hyperlink>
      <w:r w:rsidRPr="00004EAB">
        <w:t>) websites</w:t>
      </w:r>
      <w:r w:rsidRPr="000A257B">
        <w:t>.</w:t>
      </w:r>
    </w:p>
    <w:p w14:paraId="4DBA6C8B" w14:textId="1399F09F" w:rsidR="0021615E" w:rsidRPr="00DC0141" w:rsidRDefault="0F90D236" w:rsidP="003A723F">
      <w:pPr>
        <w:spacing w:before="120" w:after="0"/>
      </w:pPr>
      <w:r>
        <w:t xml:space="preserve">Questions may be sent by e-mail no later than </w:t>
      </w:r>
      <w:r w:rsidRPr="0F90D236">
        <w:rPr>
          <w:b/>
          <w:bCs/>
        </w:rPr>
        <w:t>21 days</w:t>
      </w:r>
      <w:r>
        <w:t xml:space="preserve"> before the deadline for the submission of concept notes to the address below, indicating clearly the reference and title of the call for proposals:</w:t>
      </w:r>
    </w:p>
    <w:p w14:paraId="03E2DD14" w14:textId="63B372AC" w:rsidR="0021615E" w:rsidRPr="00807DAF" w:rsidRDefault="0F90D236" w:rsidP="003A723F">
      <w:pPr>
        <w:spacing w:before="120" w:after="0"/>
        <w:ind w:left="567"/>
      </w:pPr>
      <w:r w:rsidRPr="0F90D236">
        <w:rPr>
          <w:b/>
          <w:bCs/>
        </w:rPr>
        <w:t>E-mail address:</w:t>
      </w:r>
      <w:r>
        <w:t xml:space="preserve"> </w:t>
      </w:r>
      <w:hyperlink r:id="rId29">
        <w:r w:rsidRPr="0F90D236">
          <w:rPr>
            <w:rStyle w:val="Hyperlink"/>
          </w:rPr>
          <w:t>tebd2@cfcu.gov.</w:t>
        </w:r>
        <w:r w:rsidRPr="000515AB">
          <w:rPr>
            <w:rStyle w:val="Hyperlink"/>
          </w:rPr>
          <w:t>tr</w:t>
        </w:r>
      </w:hyperlink>
    </w:p>
    <w:p w14:paraId="3147EDCE" w14:textId="77777777" w:rsidR="0021615E" w:rsidRPr="00DC0141" w:rsidRDefault="0F90D236" w:rsidP="003A723F">
      <w:pPr>
        <w:spacing w:before="120" w:after="0"/>
      </w:pPr>
      <w:r>
        <w:t>The contracting authority has no obligation to provide clarifications to questions received after this date.</w:t>
      </w:r>
    </w:p>
    <w:p w14:paraId="2F7AD1C0" w14:textId="77777777" w:rsidR="0021615E" w:rsidRPr="00DC0141" w:rsidRDefault="0F90D236" w:rsidP="003A723F">
      <w:pPr>
        <w:spacing w:before="120" w:after="0"/>
      </w:pPr>
      <w:r>
        <w:t xml:space="preserve">Replies will be given no later than </w:t>
      </w:r>
      <w:r w:rsidRPr="0F90D236">
        <w:rPr>
          <w:b/>
          <w:bCs/>
        </w:rPr>
        <w:t>11 days</w:t>
      </w:r>
      <w:r>
        <w:t xml:space="preserve"> before the deadline for submission of concept notes. </w:t>
      </w:r>
    </w:p>
    <w:p w14:paraId="15CD8B65" w14:textId="301A1E14" w:rsidR="0021615E" w:rsidRPr="00DC0141" w:rsidRDefault="0F90D236" w:rsidP="003A723F">
      <w:pPr>
        <w:spacing w:before="120" w:after="0"/>
      </w:pPr>
      <w:r>
        <w:lastRenderedPageBreak/>
        <w:t xml:space="preserve">To ensure equal treatment of applicants, the contracting authority cannot give a prior opinion on the eligibility of lead applicants, co-applicants, </w:t>
      </w:r>
      <w:r w:rsidR="00B65524" w:rsidRPr="000C4276">
        <w:t>affiliated entity(</w:t>
      </w:r>
      <w:proofErr w:type="spellStart"/>
      <w:r w:rsidR="00B65524" w:rsidRPr="000C4276">
        <w:t>ies</w:t>
      </w:r>
      <w:proofErr w:type="spellEnd"/>
      <w:r w:rsidR="00B65524" w:rsidRPr="000C4276">
        <w:t>),</w:t>
      </w:r>
      <w:r w:rsidR="00B65524">
        <w:t xml:space="preserve"> </w:t>
      </w:r>
      <w:r>
        <w:t>an action or specific activities.</w:t>
      </w:r>
    </w:p>
    <w:p w14:paraId="0969509A" w14:textId="1AFF4560" w:rsidR="0021615E" w:rsidRPr="00DC0141" w:rsidRDefault="0783902A" w:rsidP="003A723F">
      <w:pPr>
        <w:spacing w:before="120" w:after="0"/>
      </w:pPr>
      <w:r>
        <w:t xml:space="preserve">No individual replies will be given to questions. All questions and answers as well as other important notices to applicants during the course of the evaluation procedure will be published on the </w:t>
      </w:r>
      <w:r w:rsidR="00B65524" w:rsidRPr="000C4276">
        <w:t xml:space="preserve">website </w:t>
      </w:r>
      <w:r w:rsidR="00B65524">
        <w:rPr>
          <w:szCs w:val="22"/>
        </w:rPr>
        <w:t xml:space="preserve">where the call was published: </w:t>
      </w:r>
      <w:r>
        <w:t xml:space="preserve">website of DG International Partnerships </w:t>
      </w:r>
      <w:hyperlink r:id="rId30">
        <w:r w:rsidRPr="0783902A">
          <w:rPr>
            <w:rStyle w:val="Hyperlink"/>
          </w:rPr>
          <w:t>https://ec.europa.eu/international-partnerships/funding/looking-for-funding_en</w:t>
        </w:r>
      </w:hyperlink>
      <w:r w:rsidRPr="00877BCA">
        <w:rPr>
          <w:rStyle w:val="Hyperlink"/>
          <w:u w:val="none"/>
        </w:rPr>
        <w:t xml:space="preserve"> </w:t>
      </w:r>
      <w:r w:rsidRPr="0783902A">
        <w:rPr>
          <w:rStyle w:val="Hyperlink"/>
          <w:color w:val="auto"/>
          <w:u w:val="none"/>
        </w:rPr>
        <w:t xml:space="preserve">or </w:t>
      </w:r>
      <w:r>
        <w:t xml:space="preserve">Funding &amp; Tender opportunities (F&amp;T Portal) </w:t>
      </w:r>
      <w:hyperlink r:id="rId31">
        <w:r w:rsidRPr="0783902A">
          <w:rPr>
            <w:rStyle w:val="Hyperlink"/>
          </w:rPr>
          <w:t>https://ec.europa.eu/info/funding-tenders/opportunities/portal/screen/home</w:t>
        </w:r>
      </w:hyperlink>
      <w:r>
        <w:t xml:space="preserve">, CFCU website at </w:t>
      </w:r>
      <w:hyperlink r:id="rId32">
        <w:r w:rsidRPr="0783902A">
          <w:rPr>
            <w:rStyle w:val="Hyperlink"/>
          </w:rPr>
          <w:t>http://www.cfcu.gov.tr</w:t>
        </w:r>
      </w:hyperlink>
      <w:r>
        <w:t xml:space="preserve">, the Ministry of Foreign Affairs-Directorate for EU Affairs’ website at </w:t>
      </w:r>
      <w:hyperlink r:id="rId33">
        <w:r w:rsidRPr="0783902A">
          <w:rPr>
            <w:rStyle w:val="Hyperlink"/>
          </w:rPr>
          <w:t>http://www.ab.gov.tr</w:t>
        </w:r>
      </w:hyperlink>
      <w:r>
        <w:t xml:space="preserve">, Eurochambres website at </w:t>
      </w:r>
      <w:hyperlink r:id="rId34">
        <w:r w:rsidRPr="0783902A">
          <w:rPr>
            <w:rStyle w:val="Hyperlink"/>
          </w:rPr>
          <w:t>https://eurochambres.eu</w:t>
        </w:r>
      </w:hyperlink>
      <w:r>
        <w:t xml:space="preserve">, and TOBB website at </w:t>
      </w:r>
      <w:hyperlink r:id="rId35">
        <w:r w:rsidRPr="0783902A">
          <w:rPr>
            <w:rStyle w:val="Hyperlink"/>
          </w:rPr>
          <w:t>http://www.tobb.org.tr</w:t>
        </w:r>
      </w:hyperlink>
      <w:r>
        <w:t>, as the need arises. It is therefore advisable to consult the abovementioned website regularly in order to be informed of the questions and answers published.</w:t>
      </w:r>
      <w:hyperlink w:history="1"/>
    </w:p>
    <w:p w14:paraId="2845CC2F" w14:textId="77777777" w:rsidR="0021615E" w:rsidRPr="00DC0141" w:rsidRDefault="0F90D236" w:rsidP="003A723F">
      <w:pPr>
        <w:spacing w:before="120" w:after="0"/>
        <w:rPr>
          <w:szCs w:val="22"/>
        </w:rPr>
      </w:pPr>
      <w:r>
        <w:t xml:space="preserve">Please note that the contracting authority may decide to cancel the call for proposals procedure at any stage according to the conditions set out in Section 6.5.9 of the PRAG. </w:t>
      </w:r>
    </w:p>
    <w:p w14:paraId="3B1CA681" w14:textId="5C4EB5CB" w:rsidR="008B4806" w:rsidRPr="000C4276" w:rsidRDefault="0F90D236" w:rsidP="00A47D20">
      <w:pPr>
        <w:pStyle w:val="Guidelines3"/>
        <w:numPr>
          <w:ilvl w:val="2"/>
          <w:numId w:val="68"/>
        </w:numPr>
        <w:outlineLvl w:val="2"/>
      </w:pPr>
      <w:bookmarkStart w:id="46" w:name="_Toc145057276"/>
      <w:bookmarkStart w:id="47" w:name="_Toc125454356"/>
      <w:r>
        <w:t>Full applications</w:t>
      </w:r>
      <w:bookmarkEnd w:id="46"/>
      <w:r>
        <w:t xml:space="preserve"> </w:t>
      </w:r>
      <w:bookmarkEnd w:id="47"/>
    </w:p>
    <w:p w14:paraId="552C7489" w14:textId="2230AB61" w:rsidR="008B4806" w:rsidRPr="000C4276" w:rsidRDefault="0F90D236" w:rsidP="003A723F">
      <w:pPr>
        <w:spacing w:before="120" w:after="0"/>
      </w:pPr>
      <w:r>
        <w:t xml:space="preserve">Lead applicants invited to submit a full application following pre-selection of their concept note must do so using Part B of the grant application form annexed to these guidelines (Annex A </w:t>
      </w:r>
      <w:r w:rsidRPr="000A257B">
        <w:t>- Part B).</w:t>
      </w:r>
      <w:r>
        <w:t xml:space="preserve"> Lead applicants should then keep strictly to the format of the grant application form and fill in the paragraphs and pages in order.</w:t>
      </w:r>
    </w:p>
    <w:p w14:paraId="257F8529" w14:textId="364EB94D" w:rsidR="005B1895" w:rsidRPr="00D0575C" w:rsidRDefault="0F90D236" w:rsidP="003A723F">
      <w:pPr>
        <w:spacing w:before="120" w:after="0"/>
      </w:pPr>
      <w:r w:rsidRPr="0F90D236">
        <w:rPr>
          <w:color w:val="000000" w:themeColor="text1"/>
        </w:rPr>
        <w:t xml:space="preserve">Please note that the </w:t>
      </w:r>
      <w:r>
        <w:t>element</w:t>
      </w:r>
      <w:r w:rsidRPr="000A257B">
        <w:t xml:space="preserve">s </w:t>
      </w:r>
      <w:r w:rsidRPr="000A257B">
        <w:rPr>
          <w:b/>
          <w:bCs/>
        </w:rPr>
        <w:t>(</w:t>
      </w:r>
      <w:r w:rsidRPr="00004EAB">
        <w:rPr>
          <w:b/>
          <w:bCs/>
        </w:rPr>
        <w:t xml:space="preserve">co-applicant(s), </w:t>
      </w:r>
      <w:r w:rsidR="008B1D4C" w:rsidRPr="00004EAB">
        <w:rPr>
          <w:b/>
          <w:color w:val="000000"/>
          <w:szCs w:val="22"/>
        </w:rPr>
        <w:t>affiliated entity(</w:t>
      </w:r>
      <w:proofErr w:type="spellStart"/>
      <w:r w:rsidR="008B1D4C" w:rsidRPr="00004EAB">
        <w:rPr>
          <w:b/>
          <w:color w:val="000000"/>
          <w:szCs w:val="22"/>
        </w:rPr>
        <w:t>ies</w:t>
      </w:r>
      <w:proofErr w:type="spellEnd"/>
      <w:r w:rsidR="008B1D4C" w:rsidRPr="00004EAB">
        <w:rPr>
          <w:b/>
          <w:color w:val="000000"/>
          <w:szCs w:val="22"/>
        </w:rPr>
        <w:t>) (if any),</w:t>
      </w:r>
      <w:r w:rsidR="008B1D4C" w:rsidRPr="00004EAB">
        <w:rPr>
          <w:b/>
          <w:szCs w:val="22"/>
          <w:lang w:eastAsia="tr-TR"/>
        </w:rPr>
        <w:t xml:space="preserve"> </w:t>
      </w:r>
      <w:r w:rsidRPr="00004EAB">
        <w:rPr>
          <w:b/>
          <w:bCs/>
        </w:rPr>
        <w:t>associate(s) (if any), priority area(s), specific objective(s) and expected result(s))</w:t>
      </w:r>
      <w:r w:rsidRPr="000A257B">
        <w:t xml:space="preserve"> outlined in the concept note may not be modified in the full application except for the changes described below:</w:t>
      </w:r>
      <w:r>
        <w:t xml:space="preserve">  </w:t>
      </w:r>
    </w:p>
    <w:p w14:paraId="2824441F" w14:textId="2B6C1A1B" w:rsidR="005B1895" w:rsidRPr="00F900C9" w:rsidRDefault="0F90D236" w:rsidP="0F90D236">
      <w:pPr>
        <w:numPr>
          <w:ilvl w:val="0"/>
          <w:numId w:val="28"/>
        </w:numPr>
        <w:spacing w:before="120" w:after="0"/>
        <w:rPr>
          <w:color w:val="000000" w:themeColor="text1"/>
        </w:rPr>
      </w:pPr>
      <w:r w:rsidRPr="0F90D236">
        <w:rPr>
          <w:color w:val="000000" w:themeColor="text1"/>
        </w:rPr>
        <w:t xml:space="preserve">The EU contribution may not vary from the initial estimate by more than 20%. Lead applicants are free to adapt the percentage of co-financing required within the minimum and maximum amount and percentages of co-financing, as laid down in these guidelines in Section 1.3. </w:t>
      </w:r>
    </w:p>
    <w:p w14:paraId="6F8D486F" w14:textId="0BCE20CE" w:rsidR="005D1B6E" w:rsidRPr="00003187" w:rsidRDefault="0F90D236" w:rsidP="0F90D236">
      <w:pPr>
        <w:pStyle w:val="ListParagraph"/>
        <w:numPr>
          <w:ilvl w:val="0"/>
          <w:numId w:val="28"/>
        </w:numPr>
        <w:spacing w:before="120" w:after="0"/>
        <w:rPr>
          <w:color w:val="000000" w:themeColor="text1"/>
        </w:rPr>
      </w:pPr>
      <w:r w:rsidRPr="0F90D236">
        <w:rPr>
          <w:color w:val="000000" w:themeColor="text1"/>
        </w:rPr>
        <w:t xml:space="preserve">The lead applicant may add, remove or replace one or more co-applicant(s) </w:t>
      </w:r>
      <w:r w:rsidR="001A18C8" w:rsidRPr="00F900C9">
        <w:rPr>
          <w:iCs/>
          <w:color w:val="000000"/>
        </w:rPr>
        <w:t>or affiliated entity(</w:t>
      </w:r>
      <w:proofErr w:type="spellStart"/>
      <w:r w:rsidR="001A18C8" w:rsidRPr="00F900C9">
        <w:rPr>
          <w:iCs/>
          <w:color w:val="000000"/>
        </w:rPr>
        <w:t>ies</w:t>
      </w:r>
      <w:proofErr w:type="spellEnd"/>
      <w:r w:rsidR="001A18C8" w:rsidRPr="00F900C9">
        <w:rPr>
          <w:iCs/>
          <w:color w:val="000000"/>
        </w:rPr>
        <w:t xml:space="preserve">) </w:t>
      </w:r>
      <w:r w:rsidRPr="0F90D236">
        <w:rPr>
          <w:color w:val="000000" w:themeColor="text1"/>
        </w:rPr>
        <w:t>only in duly justified cases.</w:t>
      </w:r>
    </w:p>
    <w:p w14:paraId="0DD6D66F" w14:textId="77777777" w:rsidR="005B1895" w:rsidRPr="00F900C9" w:rsidRDefault="0F90D236" w:rsidP="0F90D236">
      <w:pPr>
        <w:numPr>
          <w:ilvl w:val="0"/>
          <w:numId w:val="28"/>
        </w:numPr>
        <w:spacing w:before="120" w:after="0"/>
        <w:rPr>
          <w:color w:val="000000" w:themeColor="text1"/>
        </w:rPr>
      </w:pPr>
      <w:r w:rsidRPr="0F90D236">
        <w:rPr>
          <w:color w:val="000000" w:themeColor="text1"/>
        </w:rPr>
        <w:t xml:space="preserve">The lead applicant may adjust the duration of the action if unforeseen circumstances outside the scope of the applicants have taken place following the submission of the concept note and require such adaptation (risk of action not being carried out). In such cases, the duration must remain within the limits imposed by the guidelines for applicants. </w:t>
      </w:r>
    </w:p>
    <w:p w14:paraId="05ED1AD9" w14:textId="00E2B274" w:rsidR="005B1895" w:rsidRPr="00F900C9" w:rsidRDefault="0F90D236" w:rsidP="0F90D236">
      <w:pPr>
        <w:spacing w:before="120" w:after="0"/>
        <w:rPr>
          <w:b/>
          <w:bCs/>
          <w:color w:val="000000" w:themeColor="text1"/>
        </w:rPr>
      </w:pPr>
      <w:r w:rsidRPr="0F90D236">
        <w:rPr>
          <w:b/>
          <w:bCs/>
          <w:color w:val="000000" w:themeColor="text1"/>
        </w:rPr>
        <w:t>An explanation/justification of the relevant replacements/adjustments shall be included in section 2.1.1. of the full application form. Should the explanation/justification not be accepted by the evaluation committee; the proposal may be rejected on that sole basis.</w:t>
      </w:r>
    </w:p>
    <w:p w14:paraId="742BA4FC" w14:textId="77777777" w:rsidR="005B1895" w:rsidRPr="00F900C9" w:rsidRDefault="0F90D236" w:rsidP="0F90D236">
      <w:pPr>
        <w:spacing w:before="120" w:after="0"/>
        <w:rPr>
          <w:color w:val="000000" w:themeColor="text1"/>
        </w:rPr>
      </w:pPr>
      <w:r w:rsidRPr="0F90D236">
        <w:rPr>
          <w:color w:val="000000" w:themeColor="text1"/>
        </w:rPr>
        <w:t>Lead applicants must submit their full applications in the same language as their concept notes.</w:t>
      </w:r>
    </w:p>
    <w:p w14:paraId="4965538E" w14:textId="77777777" w:rsidR="003956DF" w:rsidRPr="000C4276" w:rsidRDefault="0F90D236" w:rsidP="0F90D236">
      <w:pPr>
        <w:spacing w:before="120" w:after="0"/>
        <w:rPr>
          <w:color w:val="000000" w:themeColor="text1"/>
        </w:rPr>
      </w:pPr>
      <w:r>
        <w:t>Please complete the full application form carefully and as clearly as possible so that it can be assessed properly.</w:t>
      </w:r>
      <w:r w:rsidRPr="0F90D236">
        <w:rPr>
          <w:color w:val="000000" w:themeColor="text1"/>
        </w:rPr>
        <w:t xml:space="preserve"> </w:t>
      </w:r>
    </w:p>
    <w:p w14:paraId="4F4339BD" w14:textId="77777777" w:rsidR="003956DF" w:rsidRPr="000C4276" w:rsidRDefault="0F90D236" w:rsidP="0F90D236">
      <w:pPr>
        <w:spacing w:before="120" w:after="0"/>
        <w:rPr>
          <w:color w:val="000000" w:themeColor="text1"/>
        </w:rPr>
      </w:pPr>
      <w:r w:rsidRPr="0F90D236">
        <w:rPr>
          <w:color w:val="000000" w:themeColor="text1"/>
        </w:rPr>
        <w:t>Any error related to the points listed in the checklist (Part B, Section 7 of the grant application form) or any major inconsistency in the full application (e.g. if the amounts in the budget worksheets are inconsistent) may lead to the rejection of the application.</w:t>
      </w:r>
    </w:p>
    <w:p w14:paraId="610AE89E" w14:textId="77777777" w:rsidR="003956DF" w:rsidRPr="000C4276" w:rsidRDefault="0F90D236" w:rsidP="003A723F">
      <w:pPr>
        <w:spacing w:before="120" w:after="0"/>
      </w:pPr>
      <w:r>
        <w:t>Clarifications will only be requested when information provided is unclear and thus prevents the contracting authority from conducting an objective assessment.</w:t>
      </w:r>
    </w:p>
    <w:p w14:paraId="510A1EE0" w14:textId="6505A38C" w:rsidR="0081346C" w:rsidRDefault="003956DF" w:rsidP="0F90D236">
      <w:pPr>
        <w:spacing w:before="120" w:after="0"/>
        <w:rPr>
          <w:b/>
          <w:bCs/>
          <w:lang w:eastAsia="en-GB"/>
        </w:rPr>
      </w:pPr>
      <w:r w:rsidRPr="0F90D236">
        <w:rPr>
          <w:snapToGrid/>
          <w:lang w:eastAsia="en-GB"/>
        </w:rPr>
        <w:t xml:space="preserve">Please note that only the </w:t>
      </w:r>
      <w:r w:rsidR="00227148" w:rsidRPr="0F90D236">
        <w:rPr>
          <w:snapToGrid/>
          <w:lang w:eastAsia="en-GB"/>
        </w:rPr>
        <w:t xml:space="preserve">full </w:t>
      </w:r>
      <w:r w:rsidRPr="0F90D236">
        <w:rPr>
          <w:snapToGrid/>
          <w:lang w:eastAsia="en-GB"/>
        </w:rPr>
        <w:t xml:space="preserve">application form and the published annexes which have to be filled in (budget, logical framework) will be transmitted to the evaluators </w:t>
      </w:r>
      <w:r w:rsidR="008B1EA7" w:rsidRPr="0F90D236">
        <w:rPr>
          <w:snapToGrid/>
          <w:lang w:eastAsia="en-GB"/>
        </w:rPr>
        <w:t>(</w:t>
      </w:r>
      <w:r w:rsidRPr="0F90D236">
        <w:rPr>
          <w:snapToGrid/>
          <w:lang w:eastAsia="en-GB"/>
        </w:rPr>
        <w:t>and assessors</w:t>
      </w:r>
      <w:r w:rsidR="008B1EA7" w:rsidRPr="0F90D236">
        <w:rPr>
          <w:snapToGrid/>
          <w:lang w:eastAsia="en-GB"/>
        </w:rPr>
        <w:t>, if used)</w:t>
      </w:r>
      <w:r w:rsidRPr="0F90D236">
        <w:rPr>
          <w:snapToGrid/>
          <w:lang w:eastAsia="en-GB"/>
        </w:rPr>
        <w:t xml:space="preserve">. It is therefore of utmost importance that these documents contain ALL </w:t>
      </w:r>
      <w:r w:rsidR="0040484C" w:rsidRPr="0F90D236">
        <w:rPr>
          <w:snapToGrid/>
          <w:lang w:eastAsia="en-GB"/>
        </w:rPr>
        <w:t xml:space="preserve">the </w:t>
      </w:r>
      <w:r w:rsidRPr="0F90D236">
        <w:rPr>
          <w:snapToGrid/>
          <w:lang w:eastAsia="en-GB"/>
        </w:rPr>
        <w:t>relevant information concerning the action.</w:t>
      </w:r>
      <w:r w:rsidRPr="0F90D236">
        <w:rPr>
          <w:b/>
          <w:bCs/>
          <w:snapToGrid/>
          <w:lang w:eastAsia="en-GB"/>
        </w:rPr>
        <w:t xml:space="preserve"> </w:t>
      </w:r>
      <w:r w:rsidR="00E16F20" w:rsidRPr="0F90D236">
        <w:rPr>
          <w:b/>
          <w:bCs/>
          <w:snapToGrid/>
          <w:lang w:eastAsia="en-GB"/>
        </w:rPr>
        <w:t>With the full application</w:t>
      </w:r>
      <w:r w:rsidR="00B97837" w:rsidRPr="0F90D236">
        <w:rPr>
          <w:b/>
          <w:bCs/>
          <w:snapToGrid/>
          <w:lang w:eastAsia="en-GB"/>
        </w:rPr>
        <w:t>,</w:t>
      </w:r>
      <w:r w:rsidR="00E16F20" w:rsidRPr="0F90D236">
        <w:rPr>
          <w:b/>
          <w:bCs/>
          <w:snapToGrid/>
          <w:lang w:eastAsia="en-GB"/>
        </w:rPr>
        <w:t xml:space="preserve"> the lead applicant also has to submit completed </w:t>
      </w:r>
      <w:r w:rsidR="009D0FFA" w:rsidRPr="0F90D236">
        <w:rPr>
          <w:b/>
          <w:bCs/>
          <w:snapToGrid/>
          <w:lang w:eastAsia="en-GB"/>
        </w:rPr>
        <w:t>P</w:t>
      </w:r>
      <w:r w:rsidR="00DB3720" w:rsidRPr="0F90D236">
        <w:rPr>
          <w:b/>
          <w:bCs/>
          <w:snapToGrid/>
          <w:lang w:eastAsia="en-GB"/>
        </w:rPr>
        <w:t>ADOR</w:t>
      </w:r>
      <w:r w:rsidR="009D0FFA" w:rsidRPr="0F90D236">
        <w:rPr>
          <w:b/>
          <w:bCs/>
          <w:snapToGrid/>
          <w:lang w:eastAsia="en-GB"/>
        </w:rPr>
        <w:t xml:space="preserve"> registration form</w:t>
      </w:r>
      <w:r w:rsidR="00E16F20" w:rsidRPr="0F90D236">
        <w:rPr>
          <w:b/>
          <w:bCs/>
          <w:snapToGrid/>
          <w:lang w:eastAsia="en-GB"/>
        </w:rPr>
        <w:t xml:space="preserve"> (Annex F) for the lead applicant</w:t>
      </w:r>
      <w:r w:rsidR="000829A9" w:rsidRPr="0F90D236">
        <w:rPr>
          <w:b/>
          <w:bCs/>
          <w:snapToGrid/>
          <w:lang w:eastAsia="en-GB"/>
        </w:rPr>
        <w:t xml:space="preserve"> and </w:t>
      </w:r>
      <w:r w:rsidR="00E16F20" w:rsidRPr="0F90D236">
        <w:rPr>
          <w:b/>
          <w:bCs/>
          <w:snapToGrid/>
          <w:lang w:eastAsia="en-GB"/>
        </w:rPr>
        <w:t>each co-applicant</w:t>
      </w:r>
      <w:r w:rsidR="00A06ABE" w:rsidRPr="00A06ABE">
        <w:rPr>
          <w:b/>
          <w:snapToGrid/>
          <w:szCs w:val="22"/>
          <w:lang w:eastAsia="en-GB"/>
        </w:rPr>
        <w:t xml:space="preserve"> </w:t>
      </w:r>
      <w:r w:rsidR="00A06ABE" w:rsidRPr="000C4276">
        <w:rPr>
          <w:b/>
          <w:snapToGrid/>
          <w:szCs w:val="22"/>
          <w:lang w:eastAsia="en-GB"/>
        </w:rPr>
        <w:t xml:space="preserve">and each affiliated </w:t>
      </w:r>
      <w:proofErr w:type="gramStart"/>
      <w:r w:rsidR="00A06ABE" w:rsidRPr="000C4276">
        <w:rPr>
          <w:b/>
          <w:snapToGrid/>
          <w:szCs w:val="22"/>
          <w:lang w:eastAsia="en-GB"/>
        </w:rPr>
        <w:t>entities</w:t>
      </w:r>
      <w:proofErr w:type="gramEnd"/>
      <w:r w:rsidR="00A06ABE" w:rsidRPr="000C4276">
        <w:rPr>
          <w:rStyle w:val="FootnoteReference"/>
          <w:b/>
          <w:snapToGrid/>
          <w:szCs w:val="22"/>
          <w:lang w:eastAsia="en-GB"/>
        </w:rPr>
        <w:footnoteReference w:id="13"/>
      </w:r>
      <w:r w:rsidR="00A06ABE">
        <w:rPr>
          <w:b/>
          <w:snapToGrid/>
          <w:szCs w:val="22"/>
          <w:lang w:eastAsia="en-GB"/>
        </w:rPr>
        <w:t xml:space="preserve"> </w:t>
      </w:r>
      <w:r w:rsidR="00A06ABE" w:rsidRPr="00521DBF">
        <w:rPr>
          <w:b/>
          <w:snapToGrid/>
          <w:szCs w:val="22"/>
          <w:lang w:eastAsia="en-GB"/>
        </w:rPr>
        <w:t>(if any)</w:t>
      </w:r>
      <w:r w:rsidR="005065B1">
        <w:rPr>
          <w:b/>
          <w:bCs/>
          <w:snapToGrid/>
          <w:lang w:eastAsia="en-GB"/>
        </w:rPr>
        <w:t>.</w:t>
      </w:r>
    </w:p>
    <w:p w14:paraId="3A7C65FD" w14:textId="7CCF3628" w:rsidR="00FD1A79" w:rsidRDefault="0F90D236" w:rsidP="00DB3328">
      <w:pPr>
        <w:spacing w:before="120" w:after="0"/>
      </w:pPr>
      <w:r>
        <w:lastRenderedPageBreak/>
        <w:t>Please note that the following documents should be submitted together with PADOR registration form and the full application:</w:t>
      </w:r>
    </w:p>
    <w:p w14:paraId="5161665D" w14:textId="58B280B9" w:rsidR="00FD1A79" w:rsidRDefault="0F90D236" w:rsidP="00BE4204">
      <w:pPr>
        <w:numPr>
          <w:ilvl w:val="0"/>
          <w:numId w:val="29"/>
        </w:numPr>
        <w:spacing w:before="120" w:after="0"/>
      </w:pPr>
      <w:r>
        <w:t>The statutes or articles of association of the lead applicant and of each co-applicant</w:t>
      </w:r>
      <w:r w:rsidR="00AF0F53">
        <w:t xml:space="preserve"> </w:t>
      </w:r>
      <w:r w:rsidR="00AF0F53" w:rsidRPr="00FD1A79">
        <w:t>and of each affiliated entity</w:t>
      </w:r>
      <w:r w:rsidR="00AF0F53">
        <w:t xml:space="preserve"> </w:t>
      </w:r>
      <w:r w:rsidR="00AF0F53" w:rsidRPr="00FD1A79">
        <w:t>(if any)</w:t>
      </w:r>
      <w:r>
        <w:t xml:space="preserve">. </w:t>
      </w:r>
    </w:p>
    <w:p w14:paraId="20A0D441" w14:textId="28E1FA5F" w:rsidR="005A3D30" w:rsidRPr="000C4276" w:rsidRDefault="0F90D236" w:rsidP="0F90D236">
      <w:pPr>
        <w:numPr>
          <w:ilvl w:val="0"/>
          <w:numId w:val="29"/>
        </w:numPr>
        <w:spacing w:before="120" w:after="0"/>
      </w:pPr>
      <w:r w:rsidRPr="0F90D236">
        <w:rPr>
          <w:lang w:val="en-IE" w:eastAsia="fr-BE"/>
        </w:rPr>
        <w:t>Legal entity form (see Annex D of these guidelines) duly completed and signed by each of the applicants (i.e. by the lead applicant and by each co-applicant), accompanied by the justifying documents requested there.</w:t>
      </w:r>
    </w:p>
    <w:p w14:paraId="7315E827" w14:textId="6B82B567" w:rsidR="00104139" w:rsidRDefault="0F90D236" w:rsidP="0F90D236">
      <w:pPr>
        <w:numPr>
          <w:ilvl w:val="0"/>
          <w:numId w:val="29"/>
        </w:numPr>
        <w:spacing w:before="120" w:after="0"/>
        <w:rPr>
          <w:lang w:val="en-IE" w:eastAsia="fr-BE"/>
        </w:rPr>
      </w:pPr>
      <w:r w:rsidRPr="0F90D236">
        <w:rPr>
          <w:lang w:val="en-IE" w:eastAsia="fr-BE"/>
        </w:rPr>
        <w:t>A financial identification form of the lead applicant (not from co-applicant(s)) conforming to the model attached as Annex E of these guidelines, certified by the bank to which the payments will be made. This bank should be located in the country where the lead applicant is established.</w:t>
      </w:r>
    </w:p>
    <w:p w14:paraId="0C039703" w14:textId="311C46B1" w:rsidR="00E20EDD" w:rsidRPr="00F900C9" w:rsidRDefault="0F90D236" w:rsidP="004F6CE9">
      <w:pPr>
        <w:spacing w:before="120" w:after="0"/>
      </w:pPr>
      <w:r>
        <w:t xml:space="preserve">In addition, for the purpose of the evaluation of the financial capacity, the following documents should be submitted: </w:t>
      </w:r>
    </w:p>
    <w:p w14:paraId="1BD91104" w14:textId="7779120C" w:rsidR="00E20EDD" w:rsidRPr="00576D45" w:rsidRDefault="00E20EDD" w:rsidP="0F90D236">
      <w:pPr>
        <w:numPr>
          <w:ilvl w:val="0"/>
          <w:numId w:val="27"/>
        </w:numPr>
        <w:spacing w:before="120" w:after="0"/>
        <w:rPr>
          <w:lang w:eastAsia="en-GB"/>
        </w:rPr>
      </w:pPr>
      <w:r w:rsidRPr="00576D45">
        <w:t>A copy of the lead applicant’s profit and loss account and the balance sheet for up to the last three financial years for which the accounts were closed</w:t>
      </w:r>
      <w:r w:rsidRPr="00576D45">
        <w:rPr>
          <w:rStyle w:val="FootnoteReference"/>
        </w:rPr>
        <w:footnoteReference w:id="14"/>
      </w:r>
      <w:r w:rsidRPr="00576D45">
        <w:t>. A copy of the latest account is not required from the co-applicant(s)</w:t>
      </w:r>
      <w:r w:rsidR="00AF0F53">
        <w:t xml:space="preserve"> </w:t>
      </w:r>
      <w:r w:rsidR="00AF0F53" w:rsidRPr="00F900C9">
        <w:t>nor from affiliated entity(</w:t>
      </w:r>
      <w:proofErr w:type="spellStart"/>
      <w:r w:rsidR="00AF0F53" w:rsidRPr="00F900C9">
        <w:t>ies</w:t>
      </w:r>
      <w:proofErr w:type="spellEnd"/>
      <w:r w:rsidR="00AF0F53" w:rsidRPr="00F900C9">
        <w:t>)</w:t>
      </w:r>
      <w:r w:rsidR="00AF0F53">
        <w:t xml:space="preserve"> </w:t>
      </w:r>
      <w:r w:rsidR="00AF0F53" w:rsidRPr="00625385">
        <w:t>(if any)</w:t>
      </w:r>
      <w:r w:rsidRPr="00576D45">
        <w:t>.</w:t>
      </w:r>
    </w:p>
    <w:p w14:paraId="75183C67" w14:textId="50347125" w:rsidR="00A43DD0" w:rsidRDefault="0F90D236" w:rsidP="0F90D236">
      <w:pPr>
        <w:spacing w:before="120" w:after="0"/>
      </w:pPr>
      <w:r w:rsidRPr="0F90D236">
        <w:rPr>
          <w:lang w:eastAsia="en-GB"/>
        </w:rPr>
        <w:t xml:space="preserve">Documents must be supplied in the form of originals, photocopies or scanned versions (i.e. showing legible stamps, signatures and dates) of the said originals. </w:t>
      </w:r>
      <w:r w:rsidRPr="00004EAB">
        <w:t xml:space="preserve">However, the </w:t>
      </w:r>
      <w:r w:rsidR="00AF0F53" w:rsidRPr="00004EAB">
        <w:t xml:space="preserve">financial identification form </w:t>
      </w:r>
      <w:r w:rsidRPr="00004EAB">
        <w:t>must always be submitted in original.</w:t>
      </w:r>
    </w:p>
    <w:p w14:paraId="05597397" w14:textId="53903EA2" w:rsidR="004E4E30" w:rsidRPr="00FD1A79" w:rsidRDefault="004E4E30" w:rsidP="00877BCA">
      <w:pPr>
        <w:spacing w:before="120" w:after="0"/>
        <w:rPr>
          <w:snapToGrid/>
          <w:lang w:eastAsia="en-GB"/>
        </w:rPr>
      </w:pPr>
      <w:r w:rsidRPr="00FD1A79">
        <w:rPr>
          <w:snapToGrid/>
          <w:lang w:eastAsia="en-GB"/>
        </w:rPr>
        <w:t xml:space="preserve">Where such documents are not in one of the official languages of the European Union </w:t>
      </w:r>
      <w:r>
        <w:rPr>
          <w:snapToGrid/>
          <w:lang w:eastAsia="en-GB"/>
        </w:rPr>
        <w:t>or in Turkish</w:t>
      </w:r>
      <w:r w:rsidRPr="00FD1A79">
        <w:rPr>
          <w:snapToGrid/>
          <w:lang w:eastAsia="en-GB"/>
        </w:rPr>
        <w:t xml:space="preserve">, a translation into </w:t>
      </w:r>
      <w:r>
        <w:rPr>
          <w:snapToGrid/>
          <w:lang w:eastAsia="en-GB"/>
        </w:rPr>
        <w:t>English</w:t>
      </w:r>
      <w:r w:rsidRPr="00FD1A79">
        <w:rPr>
          <w:snapToGrid/>
          <w:lang w:eastAsia="en-GB"/>
        </w:rPr>
        <w:t xml:space="preserve"> of the relevant parts of these documents proving the lead applicant's and, where applicable, co-applicants' and affiliated entity(</w:t>
      </w:r>
      <w:proofErr w:type="spellStart"/>
      <w:r w:rsidRPr="00FD1A79">
        <w:rPr>
          <w:snapToGrid/>
          <w:lang w:eastAsia="en-GB"/>
        </w:rPr>
        <w:t>ies</w:t>
      </w:r>
      <w:proofErr w:type="spellEnd"/>
      <w:r w:rsidRPr="00FD1A79">
        <w:rPr>
          <w:snapToGrid/>
          <w:lang w:eastAsia="en-GB"/>
        </w:rPr>
        <w:t>)' eligibility, must be attached for the purpose of analysing the application.</w:t>
      </w:r>
    </w:p>
    <w:p w14:paraId="53B4103E" w14:textId="291604A4" w:rsidR="004E4E30" w:rsidRPr="00FD1A79" w:rsidRDefault="004E4E30" w:rsidP="00877BCA">
      <w:pPr>
        <w:spacing w:before="120" w:after="0"/>
        <w:rPr>
          <w:snapToGrid/>
          <w:lang w:eastAsia="en-GB"/>
        </w:rPr>
      </w:pPr>
      <w:r w:rsidRPr="00FD1A79">
        <w:rPr>
          <w:snapToGrid/>
          <w:lang w:eastAsia="en-GB"/>
        </w:rPr>
        <w:t xml:space="preserve">Where these documents are in an official language of the European Union other </w:t>
      </w:r>
      <w:r w:rsidRPr="004E4E30">
        <w:rPr>
          <w:snapToGrid/>
          <w:lang w:eastAsia="en-GB"/>
        </w:rPr>
        <w:t xml:space="preserve">than </w:t>
      </w:r>
      <w:r w:rsidRPr="00877BCA">
        <w:rPr>
          <w:snapToGrid/>
          <w:lang w:eastAsia="en-GB"/>
        </w:rPr>
        <w:t>English</w:t>
      </w:r>
      <w:r w:rsidRPr="004E4E30">
        <w:rPr>
          <w:snapToGrid/>
          <w:lang w:eastAsia="en-GB"/>
        </w:rPr>
        <w:t>, it</w:t>
      </w:r>
      <w:r w:rsidRPr="00FD1A79">
        <w:rPr>
          <w:snapToGrid/>
          <w:lang w:eastAsia="en-GB"/>
        </w:rPr>
        <w:t xml:space="preserve"> is </w:t>
      </w:r>
      <w:r w:rsidRPr="004820EC">
        <w:rPr>
          <w:b/>
          <w:snapToGrid/>
          <w:lang w:eastAsia="en-GB"/>
        </w:rPr>
        <w:t>strongly recommended</w:t>
      </w:r>
      <w:r w:rsidRPr="00FD1A79">
        <w:rPr>
          <w:snapToGrid/>
          <w:lang w:eastAsia="en-GB"/>
        </w:rPr>
        <w:t>, in order to facilitate the evaluation, to provide a translation of the relevant parts of the documents, proving the lead applicant's and, where applicable, co-applicants' and affiliated entity(</w:t>
      </w:r>
      <w:proofErr w:type="spellStart"/>
      <w:r w:rsidRPr="00FD1A79">
        <w:rPr>
          <w:snapToGrid/>
          <w:lang w:eastAsia="en-GB"/>
        </w:rPr>
        <w:t>ies</w:t>
      </w:r>
      <w:proofErr w:type="spellEnd"/>
      <w:r w:rsidRPr="00FD1A79">
        <w:rPr>
          <w:snapToGrid/>
          <w:lang w:eastAsia="en-GB"/>
        </w:rPr>
        <w:t xml:space="preserve">)' eligibility, into </w:t>
      </w:r>
      <w:r>
        <w:rPr>
          <w:snapToGrid/>
          <w:lang w:eastAsia="en-GB"/>
        </w:rPr>
        <w:t>English</w:t>
      </w:r>
      <w:r w:rsidRPr="00FD1A79">
        <w:rPr>
          <w:snapToGrid/>
          <w:lang w:eastAsia="en-GB"/>
        </w:rPr>
        <w:t>.</w:t>
      </w:r>
    </w:p>
    <w:p w14:paraId="43DA7848" w14:textId="2F452F8F" w:rsidR="00A43DD0" w:rsidRDefault="0F90D236" w:rsidP="004E4E30">
      <w:pPr>
        <w:spacing w:before="120" w:after="0"/>
        <w:rPr>
          <w:lang w:eastAsia="en-GB"/>
        </w:rPr>
      </w:pPr>
      <w:r w:rsidRPr="0F90D236">
        <w:rPr>
          <w:lang w:eastAsia="en-GB"/>
        </w:rPr>
        <w:t>If the abovementioned supporting documents are not provided by the deadline for the submission of the full application, the application may be rejected.</w:t>
      </w:r>
    </w:p>
    <w:p w14:paraId="48803955" w14:textId="7B6098FF" w:rsidR="003956DF" w:rsidRDefault="003956DF" w:rsidP="0F90D236">
      <w:pPr>
        <w:spacing w:before="120" w:after="0"/>
        <w:rPr>
          <w:b/>
          <w:bCs/>
          <w:lang w:eastAsia="en-GB"/>
        </w:rPr>
      </w:pPr>
      <w:r w:rsidRPr="0F90D236">
        <w:rPr>
          <w:b/>
          <w:bCs/>
          <w:snapToGrid/>
          <w:lang w:eastAsia="en-GB"/>
        </w:rPr>
        <w:t xml:space="preserve">No </w:t>
      </w:r>
      <w:r w:rsidR="007C4578" w:rsidRPr="0F90D236">
        <w:rPr>
          <w:b/>
          <w:bCs/>
          <w:snapToGrid/>
          <w:lang w:eastAsia="en-GB"/>
        </w:rPr>
        <w:t xml:space="preserve">additional </w:t>
      </w:r>
      <w:r w:rsidRPr="0F90D236">
        <w:rPr>
          <w:b/>
          <w:bCs/>
          <w:snapToGrid/>
          <w:lang w:eastAsia="en-GB"/>
        </w:rPr>
        <w:t>annexes should be sent</w:t>
      </w:r>
      <w:r w:rsidR="00971EDE" w:rsidRPr="0F90D236">
        <w:rPr>
          <w:b/>
          <w:bCs/>
          <w:snapToGrid/>
          <w:lang w:eastAsia="en-GB"/>
        </w:rPr>
        <w:t>.</w:t>
      </w:r>
    </w:p>
    <w:p w14:paraId="7A243D1B" w14:textId="23578187" w:rsidR="008B4806" w:rsidRPr="000C4276" w:rsidRDefault="0F90D236" w:rsidP="00A47D20">
      <w:pPr>
        <w:pStyle w:val="Guidelines3"/>
        <w:numPr>
          <w:ilvl w:val="2"/>
          <w:numId w:val="68"/>
        </w:numPr>
        <w:outlineLvl w:val="2"/>
      </w:pPr>
      <w:bookmarkStart w:id="48" w:name="_Toc145057277"/>
      <w:bookmarkStart w:id="49" w:name="_Toc125454357"/>
      <w:r>
        <w:t>Where and how to send full applications</w:t>
      </w:r>
      <w:bookmarkEnd w:id="48"/>
      <w:r>
        <w:t xml:space="preserve"> </w:t>
      </w:r>
      <w:bookmarkEnd w:id="49"/>
    </w:p>
    <w:p w14:paraId="5B491CBC" w14:textId="6A37F8A5" w:rsidR="008B4806" w:rsidRPr="000C4276" w:rsidRDefault="0F90D236" w:rsidP="003A723F">
      <w:pPr>
        <w:spacing w:before="120" w:after="0"/>
      </w:pPr>
      <w:r w:rsidRPr="00576D45">
        <w:t>Full applications (i.e. the full application form, PADOR registration form,</w:t>
      </w:r>
      <w:r w:rsidR="00E03E25" w:rsidRPr="00576D45">
        <w:t xml:space="preserve"> </w:t>
      </w:r>
      <w:r w:rsidRPr="00576D45">
        <w:t>the budget, the logical framework, the declaration by the lead applicant</w:t>
      </w:r>
      <w:r w:rsidR="009B7D32">
        <w:t>,</w:t>
      </w:r>
      <w:r w:rsidRPr="00576D45">
        <w:t xml:space="preserve"> </w:t>
      </w:r>
      <w:r w:rsidRPr="00004EAB">
        <w:t>the mandate for co-applicant(s)</w:t>
      </w:r>
      <w:r w:rsidR="00781A3B" w:rsidRPr="00004EAB">
        <w:t xml:space="preserve"> and </w:t>
      </w:r>
      <w:r w:rsidR="009B7D32" w:rsidRPr="00004EAB">
        <w:rPr>
          <w:szCs w:val="22"/>
        </w:rPr>
        <w:t>the affiliated entity(</w:t>
      </w:r>
      <w:proofErr w:type="spellStart"/>
      <w:r w:rsidR="009B7D32" w:rsidRPr="00004EAB">
        <w:rPr>
          <w:szCs w:val="22"/>
        </w:rPr>
        <w:t>ies</w:t>
      </w:r>
      <w:proofErr w:type="spellEnd"/>
      <w:r w:rsidR="009B7D32" w:rsidRPr="00004EAB">
        <w:rPr>
          <w:szCs w:val="22"/>
        </w:rPr>
        <w:t>)’s statement</w:t>
      </w:r>
      <w:r w:rsidR="009B7D32">
        <w:rPr>
          <w:szCs w:val="22"/>
        </w:rPr>
        <w:t xml:space="preserve"> (if any)</w:t>
      </w:r>
      <w:r w:rsidRPr="00576D45">
        <w:t>)</w:t>
      </w:r>
      <w:r w:rsidR="00E03E25" w:rsidRPr="00576D45">
        <w:t>,</w:t>
      </w:r>
      <w:r w:rsidRPr="00576D45">
        <w:t xml:space="preserve"> must be submitted in a sealed envelope by</w:t>
      </w:r>
      <w:r>
        <w:t xml:space="preserve"> registered mail, private courier service or by hand-delivery (a signed and dated certificate of receipt will be given to the deliverer) to the address below:</w:t>
      </w:r>
    </w:p>
    <w:p w14:paraId="35FFE228" w14:textId="77777777" w:rsidR="0032206A" w:rsidRDefault="0F90D236" w:rsidP="003A723F">
      <w:pPr>
        <w:spacing w:before="120" w:after="0"/>
        <w:ind w:left="425"/>
      </w:pPr>
      <w:r w:rsidRPr="0F90D236">
        <w:rPr>
          <w:b/>
          <w:bCs/>
          <w:u w:val="single"/>
        </w:rPr>
        <w:t>Postal Address / Address for hand delivery:</w:t>
      </w:r>
    </w:p>
    <w:p w14:paraId="6ABEFF0C" w14:textId="5E144566" w:rsidR="00781A3B" w:rsidRDefault="00781A3B" w:rsidP="003A723F">
      <w:pPr>
        <w:spacing w:before="40" w:after="0"/>
        <w:ind w:firstLine="720"/>
      </w:pPr>
      <w:proofErr w:type="spellStart"/>
      <w:r>
        <w:t>Merkezi</w:t>
      </w:r>
      <w:proofErr w:type="spellEnd"/>
      <w:r>
        <w:t xml:space="preserve"> </w:t>
      </w:r>
      <w:proofErr w:type="spellStart"/>
      <w:r>
        <w:t>Finans</w:t>
      </w:r>
      <w:proofErr w:type="spellEnd"/>
      <w:r>
        <w:t xml:space="preserve"> </w:t>
      </w:r>
      <w:proofErr w:type="spellStart"/>
      <w:r>
        <w:t>ve</w:t>
      </w:r>
      <w:proofErr w:type="spellEnd"/>
      <w:r>
        <w:t xml:space="preserve"> </w:t>
      </w:r>
      <w:proofErr w:type="spellStart"/>
      <w:r>
        <w:t>İhale</w:t>
      </w:r>
      <w:proofErr w:type="spellEnd"/>
      <w:r>
        <w:t xml:space="preserve"> </w:t>
      </w:r>
      <w:proofErr w:type="spellStart"/>
      <w:r>
        <w:t>Birimi</w:t>
      </w:r>
      <w:proofErr w:type="spellEnd"/>
    </w:p>
    <w:p w14:paraId="3493E40F" w14:textId="1D09ED60" w:rsidR="0032206A" w:rsidRPr="00E44ED4" w:rsidRDefault="00781A3B" w:rsidP="003A723F">
      <w:pPr>
        <w:spacing w:before="40" w:after="0"/>
        <w:ind w:firstLine="720"/>
      </w:pPr>
      <w:r>
        <w:t>(</w:t>
      </w:r>
      <w:r w:rsidR="0F90D236">
        <w:t>Central Finance and Contracts Unit</w:t>
      </w:r>
      <w:r>
        <w:t>)</w:t>
      </w:r>
    </w:p>
    <w:p w14:paraId="4145FB59" w14:textId="77777777" w:rsidR="0032206A" w:rsidRPr="00C06808" w:rsidRDefault="0783902A" w:rsidP="003A723F">
      <w:pPr>
        <w:spacing w:before="40" w:after="0"/>
        <w:ind w:firstLine="720"/>
      </w:pPr>
      <w:r>
        <w:t xml:space="preserve">T.C. </w:t>
      </w:r>
      <w:proofErr w:type="spellStart"/>
      <w:r>
        <w:t>Hazine</w:t>
      </w:r>
      <w:proofErr w:type="spellEnd"/>
      <w:r>
        <w:t xml:space="preserve"> </w:t>
      </w:r>
      <w:proofErr w:type="spellStart"/>
      <w:r>
        <w:t>ve</w:t>
      </w:r>
      <w:proofErr w:type="spellEnd"/>
      <w:r>
        <w:t xml:space="preserve"> </w:t>
      </w:r>
      <w:proofErr w:type="spellStart"/>
      <w:r>
        <w:t>Maliye</w:t>
      </w:r>
      <w:proofErr w:type="spellEnd"/>
      <w:r>
        <w:t xml:space="preserve"> </w:t>
      </w:r>
      <w:proofErr w:type="spellStart"/>
      <w:r>
        <w:t>Bakanlığı</w:t>
      </w:r>
      <w:proofErr w:type="spellEnd"/>
      <w:r>
        <w:t xml:space="preserve"> E Blok</w:t>
      </w:r>
    </w:p>
    <w:p w14:paraId="34C858BA" w14:textId="004AC496" w:rsidR="0032206A" w:rsidRPr="006B7675" w:rsidRDefault="0783902A" w:rsidP="003A723F">
      <w:pPr>
        <w:spacing w:before="40" w:after="0"/>
        <w:ind w:firstLine="720"/>
      </w:pPr>
      <w:proofErr w:type="spellStart"/>
      <w:r>
        <w:t>İnönü</w:t>
      </w:r>
      <w:proofErr w:type="spellEnd"/>
      <w:r>
        <w:t xml:space="preserve"> </w:t>
      </w:r>
      <w:proofErr w:type="spellStart"/>
      <w:r>
        <w:t>Bulvarı</w:t>
      </w:r>
      <w:proofErr w:type="spellEnd"/>
      <w:r>
        <w:t xml:space="preserve"> No:36 </w:t>
      </w:r>
      <w:r w:rsidR="00E03E25">
        <w:t xml:space="preserve">06490 </w:t>
      </w:r>
      <w:proofErr w:type="spellStart"/>
      <w:r>
        <w:t>Emek</w:t>
      </w:r>
      <w:proofErr w:type="spellEnd"/>
      <w:r>
        <w:t xml:space="preserve"> – Ankara / TÜRKİYE</w:t>
      </w:r>
    </w:p>
    <w:p w14:paraId="0500B7C8" w14:textId="4F645E85" w:rsidR="0032206A" w:rsidRPr="00E44ED4" w:rsidRDefault="0783902A" w:rsidP="0783902A">
      <w:pPr>
        <w:spacing w:before="40" w:after="0"/>
        <w:ind w:firstLine="720"/>
        <w:rPr>
          <w:b/>
          <w:bCs/>
        </w:rPr>
      </w:pPr>
      <w:r w:rsidRPr="0783902A">
        <w:rPr>
          <w:b/>
          <w:bCs/>
        </w:rPr>
        <w:t xml:space="preserve">Title: Grant Scheme for </w:t>
      </w:r>
      <w:proofErr w:type="spellStart"/>
      <w:r w:rsidRPr="0783902A">
        <w:rPr>
          <w:b/>
          <w:bCs/>
        </w:rPr>
        <w:t>Türkiye</w:t>
      </w:r>
      <w:proofErr w:type="spellEnd"/>
      <w:r w:rsidR="00781A3B">
        <w:rPr>
          <w:b/>
          <w:bCs/>
        </w:rPr>
        <w:t>-</w:t>
      </w:r>
      <w:r w:rsidRPr="0783902A">
        <w:rPr>
          <w:b/>
          <w:bCs/>
        </w:rPr>
        <w:t>EU Business Dialogue II (TEBD II)</w:t>
      </w:r>
    </w:p>
    <w:p w14:paraId="07972FD4" w14:textId="4B6FEF1F" w:rsidR="0032206A" w:rsidRDefault="0F90D236" w:rsidP="0F90D236">
      <w:pPr>
        <w:spacing w:before="40" w:after="0"/>
        <w:ind w:firstLine="720"/>
        <w:rPr>
          <w:b/>
          <w:bCs/>
        </w:rPr>
      </w:pPr>
      <w:r w:rsidRPr="0F90D236">
        <w:rPr>
          <w:b/>
          <w:bCs/>
        </w:rPr>
        <w:t xml:space="preserve">Reference: TR2021/W1T7/A02/OT02-2 – </w:t>
      </w:r>
      <w:bookmarkStart w:id="50" w:name="_GoBack"/>
      <w:r w:rsidR="003D5758" w:rsidRPr="003D5758">
        <w:rPr>
          <w:b/>
          <w:bCs/>
        </w:rPr>
        <w:t>EuropeAi</w:t>
      </w:r>
      <w:bookmarkEnd w:id="50"/>
      <w:r w:rsidR="003D5758" w:rsidRPr="003D5758">
        <w:rPr>
          <w:b/>
          <w:bCs/>
        </w:rPr>
        <w:t>d/179766/ID/ACT/TR</w:t>
      </w:r>
    </w:p>
    <w:p w14:paraId="534E6677" w14:textId="77777777" w:rsidR="008B4806" w:rsidRPr="000C4276" w:rsidRDefault="0F90D236" w:rsidP="0F90D236">
      <w:pPr>
        <w:spacing w:before="120" w:after="0"/>
        <w:rPr>
          <w:color w:val="000000" w:themeColor="text1"/>
        </w:rPr>
      </w:pPr>
      <w:r w:rsidRPr="0F90D236">
        <w:rPr>
          <w:color w:val="000000" w:themeColor="text1"/>
        </w:rPr>
        <w:t>Applications sent by any other means (e.g. by fax or by e-mail) or delivered to other addresses will be rejected.</w:t>
      </w:r>
    </w:p>
    <w:p w14:paraId="3638587E" w14:textId="588AFEB7" w:rsidR="00090B93" w:rsidRDefault="00090B93" w:rsidP="009C7444">
      <w:pPr>
        <w:spacing w:before="120" w:after="0"/>
      </w:pPr>
      <w:r w:rsidRPr="00562636">
        <w:rPr>
          <w:snapToGrid/>
          <w:lang w:eastAsia="en-GB"/>
        </w:rPr>
        <w:t xml:space="preserve">Applications must be submitted in </w:t>
      </w:r>
      <w:r w:rsidRPr="0F90D236">
        <w:rPr>
          <w:b/>
          <w:bCs/>
          <w:snapToGrid/>
          <w:lang w:eastAsia="en-GB"/>
        </w:rPr>
        <w:t>one original</w:t>
      </w:r>
      <w:r w:rsidRPr="0066457F">
        <w:rPr>
          <w:snapToGrid/>
          <w:lang w:eastAsia="en-GB"/>
        </w:rPr>
        <w:t xml:space="preserve"> and </w:t>
      </w:r>
      <w:r w:rsidRPr="0F90D236">
        <w:rPr>
          <w:b/>
          <w:bCs/>
          <w:snapToGrid/>
          <w:lang w:eastAsia="en-GB"/>
        </w:rPr>
        <w:t>two copies</w:t>
      </w:r>
      <w:r w:rsidRPr="00936379">
        <w:rPr>
          <w:snapToGrid/>
          <w:lang w:eastAsia="en-GB"/>
        </w:rPr>
        <w:t xml:space="preserve"> </w:t>
      </w:r>
      <w:r w:rsidRPr="00C06808">
        <w:rPr>
          <w:snapToGrid/>
          <w:lang w:eastAsia="en-GB"/>
        </w:rPr>
        <w:t>in A</w:t>
      </w:r>
      <w:r w:rsidRPr="006B7675">
        <w:rPr>
          <w:snapToGrid/>
          <w:lang w:eastAsia="en-GB"/>
        </w:rPr>
        <w:t>4 size, each bound. The full application form</w:t>
      </w:r>
      <w:r w:rsidR="000A72B3">
        <w:rPr>
          <w:snapToGrid/>
          <w:lang w:eastAsia="en-GB"/>
        </w:rPr>
        <w:t xml:space="preserve"> (</w:t>
      </w:r>
      <w:r w:rsidR="000A72B3" w:rsidRPr="00004EAB">
        <w:rPr>
          <w:snapToGrid/>
          <w:lang w:eastAsia="en-GB"/>
        </w:rPr>
        <w:t>in Word format)</w:t>
      </w:r>
      <w:r w:rsidRPr="00004EAB">
        <w:rPr>
          <w:snapToGrid/>
          <w:lang w:eastAsia="en-GB"/>
        </w:rPr>
        <w:t>,</w:t>
      </w:r>
      <w:r w:rsidRPr="006B7675">
        <w:rPr>
          <w:snapToGrid/>
          <w:lang w:eastAsia="en-GB"/>
        </w:rPr>
        <w:t xml:space="preserve"> budget</w:t>
      </w:r>
      <w:r w:rsidR="000A72B3">
        <w:rPr>
          <w:snapToGrid/>
          <w:lang w:eastAsia="en-GB"/>
        </w:rPr>
        <w:t xml:space="preserve"> (</w:t>
      </w:r>
      <w:r w:rsidR="000A72B3" w:rsidRPr="00004EAB">
        <w:rPr>
          <w:snapToGrid/>
          <w:lang w:eastAsia="en-GB"/>
        </w:rPr>
        <w:t>in Excel format</w:t>
      </w:r>
      <w:r w:rsidR="000A72B3">
        <w:rPr>
          <w:snapToGrid/>
          <w:lang w:eastAsia="en-GB"/>
        </w:rPr>
        <w:t>)</w:t>
      </w:r>
      <w:r>
        <w:rPr>
          <w:snapToGrid/>
          <w:lang w:eastAsia="en-GB"/>
        </w:rPr>
        <w:t>,</w:t>
      </w:r>
      <w:r w:rsidR="00497EF4">
        <w:rPr>
          <w:snapToGrid/>
          <w:lang w:eastAsia="en-GB"/>
        </w:rPr>
        <w:t xml:space="preserve"> </w:t>
      </w:r>
      <w:r w:rsidRPr="006B7675">
        <w:rPr>
          <w:snapToGrid/>
          <w:lang w:eastAsia="en-GB"/>
        </w:rPr>
        <w:t xml:space="preserve">logical framework </w:t>
      </w:r>
      <w:r w:rsidR="000A72B3">
        <w:rPr>
          <w:snapToGrid/>
          <w:lang w:eastAsia="en-GB"/>
        </w:rPr>
        <w:t>(</w:t>
      </w:r>
      <w:r w:rsidR="000A72B3" w:rsidRPr="00004EAB">
        <w:rPr>
          <w:snapToGrid/>
          <w:lang w:eastAsia="en-GB"/>
        </w:rPr>
        <w:t>in Word format</w:t>
      </w:r>
      <w:r w:rsidR="000A72B3">
        <w:rPr>
          <w:snapToGrid/>
          <w:lang w:eastAsia="en-GB"/>
        </w:rPr>
        <w:t xml:space="preserve">) </w:t>
      </w:r>
      <w:r>
        <w:rPr>
          <w:snapToGrid/>
          <w:lang w:eastAsia="en-GB"/>
        </w:rPr>
        <w:t>and PADOR registration form</w:t>
      </w:r>
      <w:r w:rsidR="00BB180A">
        <w:rPr>
          <w:snapToGrid/>
          <w:lang w:eastAsia="en-GB"/>
        </w:rPr>
        <w:t xml:space="preserve"> </w:t>
      </w:r>
      <w:r w:rsidR="00BB180A" w:rsidRPr="0783902A">
        <w:t>(</w:t>
      </w:r>
      <w:r w:rsidR="00BB180A" w:rsidRPr="0F90D236">
        <w:t xml:space="preserve">in </w:t>
      </w:r>
      <w:r w:rsidR="00781A3B" w:rsidRPr="0F90D236">
        <w:t>P</w:t>
      </w:r>
      <w:r w:rsidR="00781A3B">
        <w:t>DF</w:t>
      </w:r>
      <w:r w:rsidR="00781A3B" w:rsidRPr="0F90D236">
        <w:t xml:space="preserve"> </w:t>
      </w:r>
      <w:r w:rsidR="00BB180A" w:rsidRPr="0F90D236">
        <w:t>format</w:t>
      </w:r>
      <w:r w:rsidR="00BB180A" w:rsidRPr="0783902A">
        <w:t>)</w:t>
      </w:r>
      <w:r>
        <w:rPr>
          <w:snapToGrid/>
          <w:lang w:eastAsia="en-GB"/>
        </w:rPr>
        <w:t xml:space="preserve"> </w:t>
      </w:r>
      <w:r w:rsidRPr="006B7675">
        <w:rPr>
          <w:snapToGrid/>
          <w:lang w:eastAsia="en-GB"/>
        </w:rPr>
        <w:t>must also be supplied in electronic format (</w:t>
      </w:r>
      <w:proofErr w:type="spellStart"/>
      <w:r w:rsidRPr="006B7675">
        <w:rPr>
          <w:snapToGrid/>
          <w:lang w:eastAsia="en-GB"/>
        </w:rPr>
        <w:t>CD-Rom</w:t>
      </w:r>
      <w:proofErr w:type="spellEnd"/>
      <w:r>
        <w:rPr>
          <w:snapToGrid/>
          <w:lang w:eastAsia="en-GB"/>
        </w:rPr>
        <w:t xml:space="preserve"> or USB</w:t>
      </w:r>
      <w:r w:rsidRPr="006B7675">
        <w:rPr>
          <w:snapToGrid/>
          <w:lang w:eastAsia="en-GB"/>
        </w:rPr>
        <w:t xml:space="preserve">) in a separate and single file (i.e. the full application must not be split into several different files). </w:t>
      </w:r>
      <w:r w:rsidRPr="00D6320B">
        <w:t xml:space="preserve">The electronic file must contain </w:t>
      </w:r>
      <w:r w:rsidRPr="0F90D236">
        <w:rPr>
          <w:b/>
          <w:bCs/>
        </w:rPr>
        <w:lastRenderedPageBreak/>
        <w:t>exactly the same</w:t>
      </w:r>
      <w:r w:rsidRPr="00D6320B">
        <w:t xml:space="preserve"> application as the paper version. </w:t>
      </w:r>
      <w:r w:rsidRPr="00004EAB">
        <w:t xml:space="preserve">In the case of inconsistency, the paper version will be </w:t>
      </w:r>
      <w:proofErr w:type="gramStart"/>
      <w:r w:rsidRPr="00004EAB">
        <w:t>taken into account</w:t>
      </w:r>
      <w:proofErr w:type="gramEnd"/>
      <w:r w:rsidRPr="00004EAB">
        <w:t>.</w:t>
      </w:r>
    </w:p>
    <w:p w14:paraId="5A5D2CC4" w14:textId="6BB5693E" w:rsidR="000A72B3" w:rsidRPr="00535BE3" w:rsidRDefault="0F90D236" w:rsidP="0F90D236">
      <w:pPr>
        <w:spacing w:before="120" w:after="0"/>
        <w:rPr>
          <w:b/>
          <w:bCs/>
          <w:lang w:eastAsia="en-GB"/>
        </w:rPr>
      </w:pPr>
      <w:r w:rsidRPr="0F90D236">
        <w:rPr>
          <w:b/>
          <w:bCs/>
        </w:rPr>
        <w:t>Hand-written applications will not be accepted.</w:t>
      </w:r>
    </w:p>
    <w:p w14:paraId="2AA7AA66" w14:textId="64CC02E3" w:rsidR="00090B93" w:rsidRPr="00DC0141" w:rsidRDefault="0F90D236" w:rsidP="00781A3B">
      <w:pPr>
        <w:spacing w:before="120" w:after="0"/>
        <w:rPr>
          <w:color w:val="000000" w:themeColor="text1"/>
        </w:rPr>
      </w:pPr>
      <w:r>
        <w:t>The declaration by the lead applicant (Section 8 of Part B of the grant application form) must be stapled separately and enclosed in the envelope.</w:t>
      </w:r>
    </w:p>
    <w:p w14:paraId="71EEC68D" w14:textId="1AA8E8D6" w:rsidR="00090B93" w:rsidRPr="00535BE3" w:rsidRDefault="0783902A" w:rsidP="00877BCA">
      <w:pPr>
        <w:spacing w:before="120" w:after="0"/>
        <w:rPr>
          <w:b/>
          <w:bCs/>
        </w:rPr>
      </w:pPr>
      <w:r>
        <w:t xml:space="preserve">The envelope must bear the </w:t>
      </w:r>
      <w:r w:rsidR="00781A3B" w:rsidRPr="000C4276">
        <w:rPr>
          <w:b/>
        </w:rPr>
        <w:t>reference number and the title of the call for proposals</w:t>
      </w:r>
      <w:r>
        <w:t>, together with the full name and address of the lead applicant, and the words ‘</w:t>
      </w:r>
      <w:r w:rsidRPr="0783902A">
        <w:rPr>
          <w:b/>
          <w:bCs/>
        </w:rPr>
        <w:t>NOT TO BE OPENED BEFORE THE OPENING SESSION</w:t>
      </w:r>
      <w:r>
        <w:t>’ and ‘</w:t>
      </w:r>
      <w:r w:rsidRPr="0783902A">
        <w:rPr>
          <w:b/>
          <w:bCs/>
        </w:rPr>
        <w:t>AÇILIŞ OTURUMUNDAN ÖNCE AÇMAYINIZ</w:t>
      </w:r>
      <w:r>
        <w:t>’.</w:t>
      </w:r>
    </w:p>
    <w:p w14:paraId="5CE8BA7E" w14:textId="2ED2B99F" w:rsidR="00E03E25" w:rsidRPr="002F76E4" w:rsidRDefault="0F90D236" w:rsidP="00877BCA">
      <w:pPr>
        <w:spacing w:before="120" w:after="0"/>
        <w:rPr>
          <w:szCs w:val="22"/>
        </w:rPr>
      </w:pPr>
      <w:r w:rsidRPr="00781A3B">
        <w:rPr>
          <w:b/>
        </w:rPr>
        <w:t>Applicants must verify that their application is complete using the checklist (Section 7 of Part B of the</w:t>
      </w:r>
      <w:r w:rsidRPr="0F90D236">
        <w:rPr>
          <w:b/>
          <w:bCs/>
        </w:rPr>
        <w:t xml:space="preserve"> grant application form). Incomplete applications may be rejected.</w:t>
      </w:r>
    </w:p>
    <w:p w14:paraId="77FCF06D" w14:textId="66AA32AF" w:rsidR="008B4806" w:rsidRPr="000C4276" w:rsidRDefault="0F90D236" w:rsidP="00A47D20">
      <w:pPr>
        <w:pStyle w:val="Guidelines3"/>
        <w:numPr>
          <w:ilvl w:val="2"/>
          <w:numId w:val="68"/>
        </w:numPr>
        <w:outlineLvl w:val="2"/>
      </w:pPr>
      <w:bookmarkStart w:id="51" w:name="_Toc125454358"/>
      <w:bookmarkStart w:id="52" w:name="_Toc145057278"/>
      <w:r>
        <w:t>Deadline for submission of full applications</w:t>
      </w:r>
      <w:bookmarkEnd w:id="51"/>
      <w:bookmarkEnd w:id="52"/>
    </w:p>
    <w:p w14:paraId="3DA07F82" w14:textId="77777777" w:rsidR="00ED0F80" w:rsidRPr="00907B11" w:rsidRDefault="0F90D236" w:rsidP="003A723F">
      <w:pPr>
        <w:spacing w:before="120" w:after="0"/>
      </w:pPr>
      <w:r>
        <w:t>The applicants' attention is drawn to the fact that there are two different systems for sending full applications: one is by post or private courier service, the other is by hand delivery.</w:t>
      </w:r>
    </w:p>
    <w:p w14:paraId="51486615" w14:textId="77777777" w:rsidR="00D34B88" w:rsidRPr="0060404A" w:rsidRDefault="0F90D236" w:rsidP="003A723F">
      <w:pPr>
        <w:spacing w:before="120" w:after="0"/>
      </w:pPr>
      <w:r>
        <w:t>In the first case, the full application must be sent before the date for submission, as evidenced by the postmark or deposit slip, but in the second case it is the acknowledgment of receipt given at the time of the delivery of the full application that will serve as proof.</w:t>
      </w:r>
    </w:p>
    <w:p w14:paraId="618114E2" w14:textId="264A9DD1" w:rsidR="009C3DFC" w:rsidRPr="00FD1A79" w:rsidRDefault="0F90D236" w:rsidP="003A723F">
      <w:pPr>
        <w:spacing w:before="120" w:after="0"/>
      </w:pPr>
      <w:r>
        <w:t>The deadline for the submission of full applications will be indicated in the e-mail</w:t>
      </w:r>
      <w:r w:rsidR="00E03AF9">
        <w:rPr>
          <w:rStyle w:val="FootnoteReference"/>
        </w:rPr>
        <w:footnoteReference w:id="15"/>
      </w:r>
      <w:r>
        <w:t xml:space="preserve"> sent to the lead applicants whose application has been pre-selected. </w:t>
      </w:r>
    </w:p>
    <w:p w14:paraId="300B1977" w14:textId="77777777" w:rsidR="00B41A93" w:rsidRDefault="00A830CA" w:rsidP="003A723F">
      <w:pPr>
        <w:spacing w:before="120" w:after="0"/>
      </w:pPr>
      <w:r w:rsidRPr="0F90D236">
        <w:rPr>
          <w:lang w:bidi="kn-IN"/>
        </w:rPr>
        <w:t>T</w:t>
      </w:r>
      <w:r w:rsidRPr="0F90D236">
        <w:rPr>
          <w:rFonts w:eastAsia="Calibri"/>
        </w:rPr>
        <w:t>he contracting authority may, for reasons of administrative efficiency, reject any application submitted on time to the postal service but received, for any reason beyond the contracting authority's control, after the effective date of appro</w:t>
      </w:r>
      <w:r w:rsidR="009D7456" w:rsidRPr="0F90D236">
        <w:rPr>
          <w:rFonts w:eastAsia="Calibri"/>
        </w:rPr>
        <w:t xml:space="preserve">val </w:t>
      </w:r>
      <w:r w:rsidR="009D7456" w:rsidRPr="0F90D236">
        <w:rPr>
          <w:snapToGrid/>
          <w:lang w:eastAsia="en-GB"/>
        </w:rPr>
        <w:t>of the full application evaluation</w:t>
      </w:r>
      <w:r w:rsidRPr="0F90D236">
        <w:rPr>
          <w:rFonts w:eastAsia="Calibri"/>
        </w:rPr>
        <w:t>, if accepting applications that were submitted on time but arrived late would considerably delay the award procedure or jeopardise decisions already taken and notified</w:t>
      </w:r>
      <w:r w:rsidR="00B41A93" w:rsidRPr="0060404A">
        <w:rPr>
          <w:lang w:bidi="kn-IN"/>
        </w:rPr>
        <w:t xml:space="preserve"> (see indicative calendar under </w:t>
      </w:r>
      <w:r w:rsidR="00221350" w:rsidRPr="0060404A">
        <w:rPr>
          <w:lang w:bidi="kn-IN"/>
        </w:rPr>
        <w:t>S</w:t>
      </w:r>
      <w:r w:rsidR="00896ECA" w:rsidRPr="0060404A">
        <w:rPr>
          <w:lang w:bidi="kn-IN"/>
        </w:rPr>
        <w:t>ection</w:t>
      </w:r>
      <w:r w:rsidR="00B41A93" w:rsidRPr="0060404A">
        <w:rPr>
          <w:lang w:bidi="kn-IN"/>
        </w:rPr>
        <w:t xml:space="preserve"> 2.5.2</w:t>
      </w:r>
      <w:r w:rsidR="00B41A93" w:rsidRPr="0060404A">
        <w:t>)</w:t>
      </w:r>
      <w:r w:rsidR="00661830" w:rsidRPr="0060404A">
        <w:t>.</w:t>
      </w:r>
      <w:r w:rsidR="00B41A93" w:rsidRPr="00807DAF">
        <w:t xml:space="preserve"> </w:t>
      </w:r>
    </w:p>
    <w:p w14:paraId="34DCAB45" w14:textId="77777777" w:rsidR="007638C2" w:rsidRPr="00807DAF" w:rsidRDefault="0F90D236" w:rsidP="003A723F">
      <w:pPr>
        <w:spacing w:before="120" w:after="0"/>
      </w:pPr>
      <w:r>
        <w:t>Any application submitted after the deadline will be rejected.</w:t>
      </w:r>
    </w:p>
    <w:p w14:paraId="10A34305" w14:textId="2A676221" w:rsidR="008B4806" w:rsidRPr="000C4276" w:rsidRDefault="0F90D236" w:rsidP="00A47D20">
      <w:pPr>
        <w:pStyle w:val="Guidelines3"/>
        <w:numPr>
          <w:ilvl w:val="2"/>
          <w:numId w:val="68"/>
        </w:numPr>
        <w:outlineLvl w:val="2"/>
      </w:pPr>
      <w:bookmarkStart w:id="53" w:name="_Toc125454359"/>
      <w:bookmarkStart w:id="54" w:name="_Toc145057279"/>
      <w:r>
        <w:t>Further information about full applications</w:t>
      </w:r>
      <w:bookmarkEnd w:id="53"/>
      <w:bookmarkEnd w:id="54"/>
    </w:p>
    <w:p w14:paraId="624EDF32" w14:textId="13E1CC9A" w:rsidR="008B4806" w:rsidRPr="000C4276" w:rsidRDefault="0F90D236" w:rsidP="003A723F">
      <w:pPr>
        <w:spacing w:before="120" w:after="0"/>
      </w:pPr>
      <w:bookmarkStart w:id="55" w:name="_Hlk128573773"/>
      <w:r>
        <w:t xml:space="preserve">Questions may be sent by e-mail no later than </w:t>
      </w:r>
      <w:r w:rsidRPr="0F90D236">
        <w:rPr>
          <w:b/>
          <w:bCs/>
        </w:rPr>
        <w:t>21 days</w:t>
      </w:r>
      <w:r>
        <w:t xml:space="preserve"> before the deadline for the submission of full applications to the addresses listed below, </w:t>
      </w:r>
      <w:r w:rsidR="00B527B0">
        <w:t>indicating clearly the reference and title of the call for proposals:</w:t>
      </w:r>
      <w:bookmarkEnd w:id="55"/>
    </w:p>
    <w:p w14:paraId="06D56CD7" w14:textId="3A848AE6" w:rsidR="008B4806" w:rsidRDefault="0F90D236" w:rsidP="0F90D236">
      <w:pPr>
        <w:spacing w:before="120" w:after="0"/>
        <w:ind w:left="709"/>
        <w:rPr>
          <w:highlight w:val="lightGray"/>
        </w:rPr>
      </w:pPr>
      <w:r w:rsidRPr="0F90D236">
        <w:rPr>
          <w:b/>
          <w:bCs/>
        </w:rPr>
        <w:t>E-mail address:</w:t>
      </w:r>
      <w:r>
        <w:t xml:space="preserve"> </w:t>
      </w:r>
      <w:hyperlink r:id="rId36">
        <w:r w:rsidRPr="0F90D236">
          <w:rPr>
            <w:rStyle w:val="Hyperlink"/>
          </w:rPr>
          <w:t>tebd2@cfcu.gov.tr</w:t>
        </w:r>
      </w:hyperlink>
    </w:p>
    <w:p w14:paraId="27BE2FA3" w14:textId="77777777" w:rsidR="007C4720" w:rsidRPr="000C4276" w:rsidRDefault="0F90D236" w:rsidP="003A723F">
      <w:pPr>
        <w:spacing w:before="120" w:after="0"/>
      </w:pPr>
      <w:r>
        <w:t>The contracting authority has no obligation to provide clarifications to questions received after this date.</w:t>
      </w:r>
    </w:p>
    <w:p w14:paraId="46365AE1" w14:textId="77777777" w:rsidR="008B4806" w:rsidRPr="000C4276" w:rsidRDefault="0F90D236" w:rsidP="003A723F">
      <w:pPr>
        <w:spacing w:before="120" w:after="0"/>
      </w:pPr>
      <w:r>
        <w:t xml:space="preserve">Replies will be given no later than </w:t>
      </w:r>
      <w:r w:rsidRPr="0F90D236">
        <w:rPr>
          <w:b/>
          <w:bCs/>
        </w:rPr>
        <w:t>11 days</w:t>
      </w:r>
      <w:r>
        <w:t xml:space="preserve"> before the deadline for the submission of full applications. </w:t>
      </w:r>
    </w:p>
    <w:p w14:paraId="2E493B56" w14:textId="5A7A4939" w:rsidR="00376E92" w:rsidRDefault="0F90D236" w:rsidP="0F90D236">
      <w:pPr>
        <w:spacing w:before="120" w:after="0"/>
        <w:rPr>
          <w:highlight w:val="lightGray"/>
        </w:rPr>
      </w:pPr>
      <w:r>
        <w:t>To ensure equal treatment of applicants, the contracting authority cannot give a prior opinion on the eligibility of lead applicants, co-applicants</w:t>
      </w:r>
      <w:r w:rsidR="00611B4A">
        <w:t>,</w:t>
      </w:r>
      <w:r>
        <w:t xml:space="preserve"> </w:t>
      </w:r>
      <w:r w:rsidR="00611B4A" w:rsidRPr="000C4276">
        <w:t>affiliated entity(</w:t>
      </w:r>
      <w:proofErr w:type="spellStart"/>
      <w:r w:rsidR="00611B4A" w:rsidRPr="000C4276">
        <w:t>ies</w:t>
      </w:r>
      <w:proofErr w:type="spellEnd"/>
      <w:r w:rsidR="00611B4A" w:rsidRPr="000C4276">
        <w:t xml:space="preserve">), </w:t>
      </w:r>
      <w:r>
        <w:t>or an action.</w:t>
      </w:r>
    </w:p>
    <w:p w14:paraId="4A7624AA" w14:textId="287962A9" w:rsidR="002128D0" w:rsidRDefault="0783902A" w:rsidP="003A723F">
      <w:pPr>
        <w:spacing w:before="120" w:after="0"/>
      </w:pPr>
      <w:r>
        <w:t xml:space="preserve">No individual replies will be given to questions. All questions and answers as well as other important notices to applicants during the course of the evaluation procedure, will be published on the website where the call was published: website of DG International Partnerships: </w:t>
      </w:r>
      <w:hyperlink r:id="rId37">
        <w:r w:rsidRPr="0783902A">
          <w:rPr>
            <w:rStyle w:val="Hyperlink"/>
          </w:rPr>
          <w:t>https://ec.europa.eu/international-partnerships/funding/looking-for-funding_en</w:t>
        </w:r>
      </w:hyperlink>
      <w:r>
        <w:t xml:space="preserve"> </w:t>
      </w:r>
      <w:r w:rsidRPr="0783902A">
        <w:rPr>
          <w:rStyle w:val="Hyperlink"/>
          <w:color w:val="auto"/>
          <w:u w:val="none"/>
        </w:rPr>
        <w:t xml:space="preserve">or </w:t>
      </w:r>
      <w:r>
        <w:t>Funding &amp; Tender opportunities (F&amp;T Portal)</w:t>
      </w:r>
      <w:r w:rsidRPr="0783902A">
        <w:rPr>
          <w:color w:val="0000FF"/>
          <w:u w:val="single"/>
        </w:rPr>
        <w:t xml:space="preserve"> </w:t>
      </w:r>
      <w:hyperlink r:id="rId38">
        <w:r w:rsidRPr="0783902A">
          <w:rPr>
            <w:rStyle w:val="Hyperlink"/>
          </w:rPr>
          <w:t>https://ec.europa.eu/info/funding-tenders/opportunities/portal/screen/home</w:t>
        </w:r>
      </w:hyperlink>
      <w:r>
        <w:t xml:space="preserve">, the CFCU </w:t>
      </w:r>
      <w:r w:rsidRPr="0783902A">
        <w:rPr>
          <w:noProof/>
        </w:rPr>
        <w:t>website</w:t>
      </w:r>
      <w:r>
        <w:t xml:space="preserve"> at </w:t>
      </w:r>
      <w:hyperlink r:id="rId39">
        <w:r w:rsidRPr="0783902A">
          <w:rPr>
            <w:rStyle w:val="Hyperlink"/>
          </w:rPr>
          <w:t>http://www.cfcu.gov.tr</w:t>
        </w:r>
      </w:hyperlink>
      <w:r w:rsidRPr="0783902A">
        <w:rPr>
          <w:u w:val="single"/>
        </w:rPr>
        <w:t>,</w:t>
      </w:r>
      <w:r>
        <w:t xml:space="preserve"> the Ministry of Foreign Affairs-Directorate for EU Affairs’ website at </w:t>
      </w:r>
      <w:hyperlink r:id="rId40">
        <w:r w:rsidRPr="0783902A">
          <w:rPr>
            <w:rStyle w:val="Hyperlink"/>
          </w:rPr>
          <w:t>http://www.ab.gov.tr</w:t>
        </w:r>
      </w:hyperlink>
      <w:r>
        <w:t xml:space="preserve">, </w:t>
      </w:r>
      <w:proofErr w:type="spellStart"/>
      <w:r>
        <w:t>Eurochambres</w:t>
      </w:r>
      <w:proofErr w:type="spellEnd"/>
      <w:r>
        <w:t xml:space="preserve"> website</w:t>
      </w:r>
      <w:r w:rsidR="00611B4A">
        <w:t xml:space="preserve"> </w:t>
      </w:r>
      <w:r>
        <w:t xml:space="preserve">at </w:t>
      </w:r>
      <w:hyperlink r:id="rId41">
        <w:r w:rsidRPr="0783902A">
          <w:rPr>
            <w:rStyle w:val="Hyperlink"/>
          </w:rPr>
          <w:t>https://eurochambres.eu</w:t>
        </w:r>
      </w:hyperlink>
      <w:r>
        <w:t xml:space="preserve">, and the TOBB website at </w:t>
      </w:r>
      <w:hyperlink r:id="rId42">
        <w:r w:rsidRPr="0783902A">
          <w:rPr>
            <w:rStyle w:val="Hyperlink"/>
          </w:rPr>
          <w:t>http://www.tobb.org.tr</w:t>
        </w:r>
      </w:hyperlink>
      <w:r>
        <w:t>, as the need arises. It is therefore advisable to consult the abovementioned website regularly in order to be informed of the questions and answers published.</w:t>
      </w:r>
      <w:hyperlink w:history="1"/>
    </w:p>
    <w:p w14:paraId="3169601B" w14:textId="77777777" w:rsidR="007638C2" w:rsidRDefault="0F90D236" w:rsidP="003A723F">
      <w:pPr>
        <w:spacing w:before="120" w:after="0"/>
        <w:rPr>
          <w:szCs w:val="22"/>
        </w:rPr>
      </w:pPr>
      <w:r>
        <w:t>Please note that the contracting authority may decide to cancel the call for proposals procedure at any stage according to the conditions set out in Section 6.5.9 of the PRAG.</w:t>
      </w:r>
    </w:p>
    <w:p w14:paraId="64289573" w14:textId="2464D3BF" w:rsidR="0007408E" w:rsidRPr="00877BCA" w:rsidRDefault="0F90D236" w:rsidP="00B95230">
      <w:pPr>
        <w:pStyle w:val="Guidelines2"/>
        <w:numPr>
          <w:ilvl w:val="1"/>
          <w:numId w:val="68"/>
        </w:numPr>
      </w:pPr>
      <w:bookmarkStart w:id="56" w:name="_Toc40507653"/>
      <w:bookmarkStart w:id="57" w:name="_Toc145057280"/>
      <w:r w:rsidRPr="00877BCA">
        <w:t>Evaluation and selection of applications</w:t>
      </w:r>
      <w:bookmarkEnd w:id="56"/>
      <w:bookmarkEnd w:id="57"/>
    </w:p>
    <w:p w14:paraId="03FA4801" w14:textId="77777777" w:rsidR="0007408E" w:rsidRPr="00807DAF" w:rsidRDefault="0F90D236" w:rsidP="008521BC">
      <w:pPr>
        <w:spacing w:before="120" w:after="0"/>
      </w:pPr>
      <w:r>
        <w:lastRenderedPageBreak/>
        <w:t>Applications will be examined and evaluated by the contracting authority with the possible assistance of external assessors. All applications will be assessed according to the following steps and criteria.</w:t>
      </w:r>
    </w:p>
    <w:p w14:paraId="23B4120D" w14:textId="5D02B0C1" w:rsidR="00535BE3" w:rsidRDefault="0F90D236" w:rsidP="0F90D236">
      <w:pPr>
        <w:spacing w:before="120" w:after="0"/>
        <w:rPr>
          <w:b/>
          <w:bCs/>
          <w:sz w:val="24"/>
          <w:szCs w:val="24"/>
        </w:rPr>
      </w:pPr>
      <w:r>
        <w:t xml:space="preserve">If the examination of the application reveals that the proposed action does not meet the </w:t>
      </w:r>
      <w:r w:rsidRPr="0F90D236">
        <w:rPr>
          <w:u w:val="single"/>
        </w:rPr>
        <w:t>eligibility criteria</w:t>
      </w:r>
      <w:r>
        <w:t xml:space="preserve"> stated in Section 2.1, the application will be rejected on this sole basis. </w:t>
      </w:r>
    </w:p>
    <w:p w14:paraId="754E0B8F" w14:textId="6527DEEE" w:rsidR="0007408E" w:rsidRPr="00AD46B1" w:rsidRDefault="0F90D236" w:rsidP="00877BCA">
      <w:pPr>
        <w:spacing w:before="120" w:after="0"/>
        <w:ind w:left="1560" w:hanging="1560"/>
        <w:rPr>
          <w:b/>
          <w:bCs/>
          <w:sz w:val="24"/>
          <w:szCs w:val="24"/>
        </w:rPr>
      </w:pPr>
      <w:r w:rsidRPr="0F90D236">
        <w:rPr>
          <w:b/>
          <w:bCs/>
          <w:sz w:val="24"/>
          <w:szCs w:val="24"/>
        </w:rPr>
        <w:t>(1) STEP 1</w:t>
      </w:r>
      <w:r w:rsidR="00F80DF2" w:rsidRPr="0F90D236">
        <w:rPr>
          <w:b/>
          <w:bCs/>
          <w:sz w:val="24"/>
          <w:szCs w:val="24"/>
        </w:rPr>
        <w:t>:</w:t>
      </w:r>
      <w:r w:rsidR="00F80DF2">
        <w:rPr>
          <w:b/>
          <w:bCs/>
          <w:sz w:val="24"/>
          <w:szCs w:val="24"/>
        </w:rPr>
        <w:tab/>
      </w:r>
      <w:r w:rsidRPr="0F90D236">
        <w:rPr>
          <w:b/>
          <w:bCs/>
          <w:sz w:val="24"/>
          <w:szCs w:val="24"/>
        </w:rPr>
        <w:t>OPENING &amp; ADMINISTRATIVE CHECKS AND CONCEPT NOTE EVALUATION</w:t>
      </w:r>
    </w:p>
    <w:p w14:paraId="4E1E6BBA" w14:textId="040930E1" w:rsidR="00402677" w:rsidRPr="00807DAF" w:rsidRDefault="0F90D236" w:rsidP="00535BE3">
      <w:pPr>
        <w:spacing w:before="120" w:after="0"/>
      </w:pPr>
      <w:r>
        <w:t>During the opening and administrative check, the following will be assessed:</w:t>
      </w:r>
    </w:p>
    <w:p w14:paraId="0017A54D" w14:textId="77777777" w:rsidR="00A762B5" w:rsidRPr="00807DAF" w:rsidRDefault="0F90D236" w:rsidP="00535BE3">
      <w:pPr>
        <w:numPr>
          <w:ilvl w:val="2"/>
          <w:numId w:val="21"/>
        </w:numPr>
        <w:spacing w:before="120" w:after="0"/>
        <w:ind w:left="709"/>
      </w:pPr>
      <w:r>
        <w:t>If the deadline has been met. Otherwise, the application will be automatically rejected.</w:t>
      </w:r>
    </w:p>
    <w:p w14:paraId="41EEE4B8" w14:textId="77777777" w:rsidR="00F557BF" w:rsidRPr="00807DAF" w:rsidRDefault="0F90D236" w:rsidP="00535BE3">
      <w:pPr>
        <w:numPr>
          <w:ilvl w:val="0"/>
          <w:numId w:val="21"/>
        </w:numPr>
        <w:spacing w:before="120" w:after="0"/>
      </w:pPr>
      <w:r>
        <w:t xml:space="preserve">If the concept note satisfies all the criteria specified in the checklist in Section 2 of Part A of the grant application form. This includes also an assessment of the eligibility of the action. If any of the requested information is missing or is incorrect, the application may be rejected on that </w:t>
      </w:r>
      <w:r w:rsidRPr="0F90D236">
        <w:rPr>
          <w:b/>
          <w:bCs/>
          <w:u w:val="single"/>
        </w:rPr>
        <w:t>sole</w:t>
      </w:r>
      <w:r>
        <w:t xml:space="preserve"> basis and the application will not be evaluated further.</w:t>
      </w:r>
    </w:p>
    <w:p w14:paraId="2E86E183" w14:textId="77777777" w:rsidR="00C727EC" w:rsidRPr="00807DAF" w:rsidRDefault="0F90D236" w:rsidP="00535BE3">
      <w:pPr>
        <w:spacing w:before="120" w:after="0"/>
      </w:pPr>
      <w:r>
        <w:t>The concept notes that pass this check will be evaluated on the relevance and design of the proposed action.</w:t>
      </w:r>
    </w:p>
    <w:p w14:paraId="07862E2B" w14:textId="77777777" w:rsidR="00400B42" w:rsidRPr="00807DAF" w:rsidRDefault="0F90D236" w:rsidP="00535BE3">
      <w:pPr>
        <w:spacing w:before="120" w:after="0"/>
      </w:pPr>
      <w:r>
        <w:t>The concept notes will receive an overall score out of 50 using the breakdown in the evaluation grid below. The evaluation will also check on compliance with the instructions on how to complete the concept note, which can be found in Part A of the grant application form.</w:t>
      </w:r>
    </w:p>
    <w:p w14:paraId="41A5D75A" w14:textId="5C059646" w:rsidR="00ED5802" w:rsidRDefault="0F90D236" w:rsidP="00535BE3">
      <w:pPr>
        <w:spacing w:before="120" w:after="120"/>
      </w:pPr>
      <w:bookmarkStart w:id="58" w:name="_Toc159211906"/>
      <w:bookmarkStart w:id="59" w:name="_Toc159212662"/>
      <w:bookmarkStart w:id="60" w:name="_Toc159212881"/>
      <w:bookmarkStart w:id="61" w:name="_Toc159213197"/>
      <w:r>
        <w:t xml:space="preserve">The </w:t>
      </w:r>
      <w:r w:rsidRPr="0F90D236">
        <w:rPr>
          <w:u w:val="single"/>
        </w:rPr>
        <w:t>evaluation criteria</w:t>
      </w:r>
      <w:r>
        <w:t xml:space="preserve"> are divided into headings and subheadings. Each subheading will be given a score between 1 and 5 as follows: 1 = very poor; 2 = poor; 3 = adequate; 4 = good; 5 = very good.</w:t>
      </w:r>
    </w:p>
    <w:tbl>
      <w:tblPr>
        <w:tblW w:w="9997" w:type="dxa"/>
        <w:tblLayout w:type="fixed"/>
        <w:tblLook w:val="01E0" w:firstRow="1" w:lastRow="1" w:firstColumn="1" w:lastColumn="1" w:noHBand="0" w:noVBand="0"/>
      </w:tblPr>
      <w:tblGrid>
        <w:gridCol w:w="8208"/>
        <w:gridCol w:w="1260"/>
        <w:gridCol w:w="529"/>
      </w:tblGrid>
      <w:tr w:rsidR="00210DC6" w:rsidRPr="00210DC6" w14:paraId="0AF86E09" w14:textId="77777777" w:rsidTr="0783902A">
        <w:tc>
          <w:tcPr>
            <w:tcW w:w="8208" w:type="dxa"/>
            <w:tcBorders>
              <w:bottom w:val="single" w:sz="4" w:space="0" w:color="auto"/>
            </w:tcBorders>
          </w:tcPr>
          <w:p w14:paraId="08CF4C5C" w14:textId="77777777" w:rsidR="00210DC6" w:rsidRPr="00210DC6" w:rsidRDefault="00210DC6" w:rsidP="00535BE3">
            <w:pPr>
              <w:spacing w:before="60" w:after="60"/>
              <w:rPr>
                <w:b/>
              </w:rPr>
            </w:pPr>
          </w:p>
        </w:tc>
        <w:tc>
          <w:tcPr>
            <w:tcW w:w="1789" w:type="dxa"/>
            <w:gridSpan w:val="2"/>
            <w:tcBorders>
              <w:bottom w:val="single" w:sz="4" w:space="0" w:color="auto"/>
            </w:tcBorders>
          </w:tcPr>
          <w:p w14:paraId="13B1117C" w14:textId="77777777" w:rsidR="00210DC6" w:rsidRPr="00210DC6" w:rsidRDefault="0F90D236" w:rsidP="0F90D236">
            <w:pPr>
              <w:spacing w:before="60" w:after="60"/>
              <w:rPr>
                <w:b/>
                <w:bCs/>
              </w:rPr>
            </w:pPr>
            <w:r w:rsidRPr="0F90D236">
              <w:rPr>
                <w:b/>
                <w:bCs/>
              </w:rPr>
              <w:t>Scores</w:t>
            </w:r>
          </w:p>
        </w:tc>
      </w:tr>
      <w:tr w:rsidR="00210DC6" w:rsidRPr="00210DC6" w14:paraId="7963EA10" w14:textId="77777777" w:rsidTr="0783902A">
        <w:tc>
          <w:tcPr>
            <w:tcW w:w="8208" w:type="dxa"/>
            <w:tcBorders>
              <w:top w:val="single" w:sz="4" w:space="0" w:color="auto"/>
              <w:left w:val="single" w:sz="4" w:space="0" w:color="auto"/>
              <w:bottom w:val="single" w:sz="4" w:space="0" w:color="auto"/>
            </w:tcBorders>
          </w:tcPr>
          <w:p w14:paraId="77A1F448" w14:textId="77777777" w:rsidR="00210DC6" w:rsidRPr="00210DC6" w:rsidRDefault="0F90D236" w:rsidP="0F90D236">
            <w:pPr>
              <w:spacing w:before="60" w:after="60"/>
              <w:rPr>
                <w:b/>
                <w:bCs/>
              </w:rPr>
            </w:pPr>
            <w:r w:rsidRPr="0F90D236">
              <w:rPr>
                <w:b/>
                <w:bCs/>
              </w:rPr>
              <w:t>1. Relevance of the action</w:t>
            </w:r>
          </w:p>
        </w:tc>
        <w:tc>
          <w:tcPr>
            <w:tcW w:w="1260" w:type="dxa"/>
            <w:tcBorders>
              <w:top w:val="single" w:sz="4" w:space="0" w:color="auto"/>
              <w:bottom w:val="single" w:sz="4" w:space="0" w:color="auto"/>
            </w:tcBorders>
          </w:tcPr>
          <w:p w14:paraId="1B256405" w14:textId="77777777" w:rsidR="00210DC6" w:rsidRPr="00210DC6" w:rsidRDefault="0F90D236" w:rsidP="00535BE3">
            <w:pPr>
              <w:spacing w:before="60" w:after="60"/>
            </w:pPr>
            <w:r>
              <w:t>Sub-score</w:t>
            </w:r>
          </w:p>
        </w:tc>
        <w:tc>
          <w:tcPr>
            <w:tcW w:w="529" w:type="dxa"/>
            <w:tcBorders>
              <w:top w:val="single" w:sz="4" w:space="0" w:color="auto"/>
              <w:bottom w:val="single" w:sz="4" w:space="0" w:color="auto"/>
              <w:right w:val="single" w:sz="4" w:space="0" w:color="auto"/>
            </w:tcBorders>
          </w:tcPr>
          <w:p w14:paraId="047AE305" w14:textId="77777777" w:rsidR="00210DC6" w:rsidRPr="00210DC6" w:rsidRDefault="0783902A" w:rsidP="0783902A">
            <w:pPr>
              <w:spacing w:before="60" w:after="60"/>
              <w:rPr>
                <w:b/>
                <w:bCs/>
              </w:rPr>
            </w:pPr>
            <w:r w:rsidRPr="0783902A">
              <w:rPr>
                <w:b/>
                <w:bCs/>
              </w:rPr>
              <w:t>20</w:t>
            </w:r>
          </w:p>
        </w:tc>
      </w:tr>
      <w:tr w:rsidR="00210DC6" w:rsidRPr="00210DC6" w14:paraId="3F6EA6B6" w14:textId="77777777" w:rsidTr="078390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5"/>
        </w:trPr>
        <w:tc>
          <w:tcPr>
            <w:tcW w:w="8208" w:type="dxa"/>
            <w:tcBorders>
              <w:top w:val="single" w:sz="4" w:space="0" w:color="auto"/>
              <w:left w:val="single" w:sz="4" w:space="0" w:color="auto"/>
              <w:bottom w:val="single" w:sz="4" w:space="0" w:color="auto"/>
              <w:right w:val="single" w:sz="4" w:space="0" w:color="auto"/>
            </w:tcBorders>
          </w:tcPr>
          <w:p w14:paraId="0917714F" w14:textId="45A03CF5" w:rsidR="00210DC6" w:rsidRPr="00210DC6" w:rsidRDefault="00210DC6" w:rsidP="00877BCA">
            <w:pPr>
              <w:spacing w:before="60" w:after="60"/>
              <w:ind w:left="462" w:hanging="462"/>
            </w:pPr>
            <w:r w:rsidRPr="00210DC6">
              <w:t>1.1</w:t>
            </w:r>
            <w:r w:rsidRPr="00210DC6">
              <w:tab/>
              <w:t>How relevant is the proposal to the objectives and priorities of the call for proposals and to the specific themes/sectors/areas or any other specific requirement stated in the guidelines for applicants? Are the expected results of the action aligned with the priorities defined in the guidelines for applicants (section 1.2)?</w:t>
            </w:r>
          </w:p>
        </w:tc>
        <w:tc>
          <w:tcPr>
            <w:tcW w:w="1260" w:type="dxa"/>
            <w:tcBorders>
              <w:top w:val="single" w:sz="4" w:space="0" w:color="auto"/>
              <w:left w:val="single" w:sz="4" w:space="0" w:color="auto"/>
              <w:bottom w:val="single" w:sz="4" w:space="0" w:color="auto"/>
              <w:right w:val="single" w:sz="4" w:space="0" w:color="auto"/>
            </w:tcBorders>
            <w:vAlign w:val="center"/>
          </w:tcPr>
          <w:p w14:paraId="6362A329" w14:textId="77777777" w:rsidR="00210DC6" w:rsidRPr="00210DC6" w:rsidRDefault="0F90D236" w:rsidP="00535BE3">
            <w:pPr>
              <w:spacing w:before="60" w:after="60"/>
              <w:jc w:val="center"/>
            </w:pPr>
            <w:r>
              <w:t>5*</w:t>
            </w:r>
          </w:p>
        </w:tc>
        <w:tc>
          <w:tcPr>
            <w:tcW w:w="529" w:type="dxa"/>
            <w:tcBorders>
              <w:top w:val="single" w:sz="4" w:space="0" w:color="auto"/>
              <w:left w:val="single" w:sz="4" w:space="0" w:color="auto"/>
              <w:bottom w:val="single" w:sz="4" w:space="0" w:color="auto"/>
              <w:right w:val="single" w:sz="4" w:space="0" w:color="auto"/>
            </w:tcBorders>
            <w:shd w:val="clear" w:color="auto" w:fill="auto"/>
          </w:tcPr>
          <w:p w14:paraId="5A1A5653" w14:textId="77777777" w:rsidR="00210DC6" w:rsidRPr="00210DC6" w:rsidRDefault="00210DC6" w:rsidP="00535BE3">
            <w:pPr>
              <w:spacing w:before="60" w:after="60"/>
              <w:rPr>
                <w:u w:val="single"/>
              </w:rPr>
            </w:pPr>
          </w:p>
        </w:tc>
      </w:tr>
      <w:tr w:rsidR="00210DC6" w:rsidRPr="00210DC6" w14:paraId="4EA1745A" w14:textId="77777777" w:rsidTr="078390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77"/>
        </w:trPr>
        <w:tc>
          <w:tcPr>
            <w:tcW w:w="8208" w:type="dxa"/>
            <w:tcBorders>
              <w:top w:val="single" w:sz="4" w:space="0" w:color="auto"/>
              <w:left w:val="single" w:sz="4" w:space="0" w:color="auto"/>
              <w:bottom w:val="single" w:sz="4" w:space="0" w:color="auto"/>
              <w:right w:val="single" w:sz="4" w:space="0" w:color="auto"/>
            </w:tcBorders>
          </w:tcPr>
          <w:p w14:paraId="12FE77ED" w14:textId="6D89F210" w:rsidR="00210DC6" w:rsidRPr="00210DC6" w:rsidRDefault="00210DC6" w:rsidP="00877BCA">
            <w:pPr>
              <w:spacing w:before="60" w:after="60"/>
              <w:ind w:left="462" w:hanging="462"/>
            </w:pPr>
            <w:r w:rsidRPr="00210DC6">
              <w:t>1.2</w:t>
            </w:r>
            <w:r w:rsidRPr="00210DC6">
              <w:tab/>
              <w:t>How relevant is the proposal to the particular needs and constraints</w:t>
            </w:r>
            <w:r w:rsidRPr="0F90D236">
              <w:rPr>
                <w:b/>
                <w:bCs/>
              </w:rPr>
              <w:t xml:space="preserve"> </w:t>
            </w:r>
            <w:r w:rsidRPr="00210DC6">
              <w:t>of the target country(</w:t>
            </w:r>
            <w:proofErr w:type="spellStart"/>
            <w:r w:rsidRPr="00210DC6">
              <w:t>ies</w:t>
            </w:r>
            <w:proofErr w:type="spellEnd"/>
            <w:r w:rsidRPr="0783902A">
              <w:t>)</w:t>
            </w:r>
            <w:r w:rsidR="0067472D">
              <w:t>, region(s) and/</w:t>
            </w:r>
            <w:r w:rsidRPr="00210DC6">
              <w:t>or relevant sectors (including synergy with other development initiatives and avoidance of duplication)?</w:t>
            </w:r>
          </w:p>
        </w:tc>
        <w:tc>
          <w:tcPr>
            <w:tcW w:w="1260" w:type="dxa"/>
            <w:tcBorders>
              <w:top w:val="single" w:sz="4" w:space="0" w:color="auto"/>
              <w:left w:val="single" w:sz="4" w:space="0" w:color="auto"/>
              <w:bottom w:val="single" w:sz="4" w:space="0" w:color="auto"/>
              <w:right w:val="single" w:sz="4" w:space="0" w:color="auto"/>
            </w:tcBorders>
            <w:vAlign w:val="center"/>
          </w:tcPr>
          <w:p w14:paraId="474B707A" w14:textId="77777777" w:rsidR="00210DC6" w:rsidRPr="00210DC6" w:rsidRDefault="0783902A" w:rsidP="00535BE3">
            <w:pPr>
              <w:spacing w:before="60" w:after="60"/>
              <w:jc w:val="center"/>
            </w:pPr>
            <w:r>
              <w:t>5</w:t>
            </w:r>
          </w:p>
        </w:tc>
        <w:tc>
          <w:tcPr>
            <w:tcW w:w="529" w:type="dxa"/>
            <w:tcBorders>
              <w:top w:val="single" w:sz="4" w:space="0" w:color="auto"/>
              <w:left w:val="single" w:sz="4" w:space="0" w:color="auto"/>
              <w:bottom w:val="single" w:sz="4" w:space="0" w:color="auto"/>
              <w:right w:val="single" w:sz="4" w:space="0" w:color="auto"/>
            </w:tcBorders>
            <w:shd w:val="clear" w:color="auto" w:fill="auto"/>
          </w:tcPr>
          <w:p w14:paraId="3426C6B2" w14:textId="77777777" w:rsidR="00210DC6" w:rsidRPr="00210DC6" w:rsidRDefault="00210DC6" w:rsidP="00535BE3">
            <w:pPr>
              <w:spacing w:before="60" w:after="60"/>
              <w:rPr>
                <w:u w:val="single"/>
              </w:rPr>
            </w:pPr>
          </w:p>
        </w:tc>
      </w:tr>
      <w:tr w:rsidR="00210DC6" w:rsidRPr="00210DC6" w14:paraId="2362A447" w14:textId="77777777" w:rsidTr="0783902A">
        <w:trPr>
          <w:trHeight w:val="990"/>
        </w:trPr>
        <w:tc>
          <w:tcPr>
            <w:tcW w:w="8208" w:type="dxa"/>
            <w:tcBorders>
              <w:left w:val="single" w:sz="4" w:space="0" w:color="auto"/>
              <w:right w:val="single" w:sz="4" w:space="0" w:color="auto"/>
            </w:tcBorders>
          </w:tcPr>
          <w:p w14:paraId="22F98ACC" w14:textId="77777777" w:rsidR="00210DC6" w:rsidRPr="00210DC6" w:rsidRDefault="00210DC6" w:rsidP="00877BCA">
            <w:pPr>
              <w:spacing w:before="60" w:after="60"/>
              <w:ind w:left="462" w:hanging="462"/>
            </w:pPr>
            <w:r w:rsidRPr="00210DC6">
              <w:t>1.3</w:t>
            </w:r>
            <w:r w:rsidRPr="00210DC6">
              <w:tab/>
              <w:t>How clearly defined and strategically chosen are those involved (final beneficiaries, target groups)? Have their needs (as rights holders and/or duty bearers) and constraints been clearly defined and does the proposal address them appropriately?</w:t>
            </w:r>
          </w:p>
        </w:tc>
        <w:tc>
          <w:tcPr>
            <w:tcW w:w="1260" w:type="dxa"/>
            <w:tcBorders>
              <w:top w:val="single" w:sz="4" w:space="0" w:color="auto"/>
              <w:left w:val="single" w:sz="4" w:space="0" w:color="auto"/>
              <w:right w:val="single" w:sz="4" w:space="0" w:color="auto"/>
            </w:tcBorders>
            <w:vAlign w:val="center"/>
          </w:tcPr>
          <w:p w14:paraId="5A4E6F60" w14:textId="77777777" w:rsidR="00210DC6" w:rsidRPr="00210DC6" w:rsidDel="002D2C92" w:rsidRDefault="0783902A" w:rsidP="00535BE3">
            <w:pPr>
              <w:spacing w:before="60" w:after="60"/>
              <w:jc w:val="center"/>
            </w:pPr>
            <w:r>
              <w:t>5</w:t>
            </w:r>
          </w:p>
        </w:tc>
        <w:tc>
          <w:tcPr>
            <w:tcW w:w="529" w:type="dxa"/>
            <w:tcBorders>
              <w:left w:val="single" w:sz="4" w:space="0" w:color="auto"/>
              <w:right w:val="single" w:sz="4" w:space="0" w:color="auto"/>
            </w:tcBorders>
            <w:shd w:val="clear" w:color="auto" w:fill="auto"/>
          </w:tcPr>
          <w:p w14:paraId="0E13A9B8" w14:textId="77777777" w:rsidR="00210DC6" w:rsidRPr="00210DC6" w:rsidRDefault="00210DC6" w:rsidP="00535BE3">
            <w:pPr>
              <w:spacing w:before="60" w:after="60"/>
              <w:rPr>
                <w:u w:val="single"/>
              </w:rPr>
            </w:pPr>
          </w:p>
        </w:tc>
      </w:tr>
      <w:tr w:rsidR="00210DC6" w:rsidRPr="00210DC6" w14:paraId="0B0115F6" w14:textId="77777777" w:rsidTr="004820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57"/>
        </w:trPr>
        <w:tc>
          <w:tcPr>
            <w:tcW w:w="8208" w:type="dxa"/>
            <w:tcBorders>
              <w:top w:val="single" w:sz="4" w:space="0" w:color="auto"/>
              <w:left w:val="single" w:sz="4" w:space="0" w:color="auto"/>
              <w:bottom w:val="single" w:sz="4" w:space="0" w:color="auto"/>
              <w:right w:val="single" w:sz="4" w:space="0" w:color="auto"/>
            </w:tcBorders>
          </w:tcPr>
          <w:p w14:paraId="1A45069F" w14:textId="12C09B1C" w:rsidR="00210DC6" w:rsidRPr="00210DC6" w:rsidRDefault="00590D43" w:rsidP="00877BCA">
            <w:pPr>
              <w:spacing w:before="60" w:after="60"/>
              <w:ind w:left="462" w:hanging="462"/>
            </w:pPr>
            <w:r w:rsidRPr="00210DC6">
              <w:t>1.4</w:t>
            </w:r>
            <w:r w:rsidRPr="00210DC6">
              <w:tab/>
              <w:t>Does the proposal contain particular added-value elements</w:t>
            </w:r>
            <w:r w:rsidRPr="004365A3">
              <w:t xml:space="preserve"> (</w:t>
            </w:r>
            <w:r w:rsidRPr="00F72303">
              <w:t>e.g. innovation, best practices, involvement of chambers</w:t>
            </w:r>
            <w:r w:rsidR="008C58D2">
              <w:t>/commodity exchanges</w:t>
            </w:r>
            <w:r w:rsidRPr="00F72303">
              <w:t xml:space="preserve"> from </w:t>
            </w:r>
            <w:r w:rsidR="008C58D2">
              <w:t xml:space="preserve">the </w:t>
            </w:r>
            <w:r w:rsidRPr="00F72303">
              <w:t xml:space="preserve">less developed regions </w:t>
            </w:r>
            <w:r w:rsidR="008C58D2">
              <w:t xml:space="preserve">of </w:t>
            </w:r>
            <w:proofErr w:type="spellStart"/>
            <w:r w:rsidR="008C58D2">
              <w:t>Türkiye</w:t>
            </w:r>
            <w:proofErr w:type="spellEnd"/>
            <w:r w:rsidR="008C58D2" w:rsidRPr="0F90D236">
              <w:rPr>
                <w:rStyle w:val="FootnoteReference"/>
                <w:b/>
                <w:bCs/>
              </w:rPr>
              <w:footnoteReference w:id="16"/>
            </w:r>
            <w:r w:rsidR="008C58D2">
              <w:t xml:space="preserve"> </w:t>
            </w:r>
            <w:r w:rsidR="00315F83" w:rsidRPr="00F72303">
              <w:t>or</w:t>
            </w:r>
            <w:r w:rsidR="003F148D" w:rsidRPr="00F72303">
              <w:t xml:space="preserve"> </w:t>
            </w:r>
            <w:r w:rsidRPr="00F72303">
              <w:t>the provinces significantly affected by the earthquake</w:t>
            </w:r>
            <w:r w:rsidR="00A24F32" w:rsidRPr="00F72303">
              <w:t xml:space="preserve"> in February 2023</w:t>
            </w:r>
            <w:r w:rsidRPr="00F72303">
              <w:rPr>
                <w:rStyle w:val="FootnoteReference"/>
              </w:rPr>
              <w:footnoteReference w:id="17"/>
            </w:r>
            <w:r w:rsidR="008C58D2">
              <w:t xml:space="preserve"> </w:t>
            </w:r>
            <w:r w:rsidRPr="00F72303">
              <w:t xml:space="preserve">in </w:t>
            </w:r>
            <w:proofErr w:type="spellStart"/>
            <w:r w:rsidRPr="00F72303">
              <w:t>Türkiye</w:t>
            </w:r>
            <w:proofErr w:type="spellEnd"/>
            <w:r w:rsidR="00877BCA" w:rsidRPr="00F72303">
              <w:t>)</w:t>
            </w:r>
            <w:r w:rsidR="009C3D34" w:rsidRPr="00F72303">
              <w:t>?</w:t>
            </w:r>
          </w:p>
        </w:tc>
        <w:tc>
          <w:tcPr>
            <w:tcW w:w="1260" w:type="dxa"/>
            <w:tcBorders>
              <w:top w:val="single" w:sz="4" w:space="0" w:color="auto"/>
              <w:left w:val="single" w:sz="4" w:space="0" w:color="auto"/>
              <w:bottom w:val="single" w:sz="4" w:space="0" w:color="auto"/>
              <w:right w:val="single" w:sz="4" w:space="0" w:color="auto"/>
            </w:tcBorders>
            <w:vAlign w:val="center"/>
          </w:tcPr>
          <w:p w14:paraId="651BB888" w14:textId="77777777" w:rsidR="00210DC6" w:rsidRPr="00210DC6" w:rsidRDefault="0F90D236" w:rsidP="00535BE3">
            <w:pPr>
              <w:spacing w:before="60" w:after="60"/>
              <w:jc w:val="center"/>
            </w:pPr>
            <w:r>
              <w:t>5**</w:t>
            </w:r>
          </w:p>
        </w:tc>
        <w:tc>
          <w:tcPr>
            <w:tcW w:w="529" w:type="dxa"/>
            <w:tcBorders>
              <w:top w:val="single" w:sz="4" w:space="0" w:color="auto"/>
              <w:left w:val="single" w:sz="4" w:space="0" w:color="auto"/>
              <w:bottom w:val="single" w:sz="4" w:space="0" w:color="auto"/>
              <w:right w:val="single" w:sz="4" w:space="0" w:color="auto"/>
            </w:tcBorders>
            <w:shd w:val="clear" w:color="auto" w:fill="auto"/>
          </w:tcPr>
          <w:p w14:paraId="73833124" w14:textId="77777777" w:rsidR="00210DC6" w:rsidRPr="00210DC6" w:rsidRDefault="00210DC6" w:rsidP="00535BE3">
            <w:pPr>
              <w:spacing w:before="60" w:after="60"/>
              <w:rPr>
                <w:u w:val="single"/>
              </w:rPr>
            </w:pPr>
          </w:p>
        </w:tc>
      </w:tr>
      <w:tr w:rsidR="00210DC6" w:rsidRPr="00210DC6" w14:paraId="7E57A246" w14:textId="77777777" w:rsidTr="078390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08" w:type="dxa"/>
            <w:tcBorders>
              <w:top w:val="single" w:sz="4" w:space="0" w:color="auto"/>
              <w:left w:val="single" w:sz="4" w:space="0" w:color="auto"/>
              <w:bottom w:val="single" w:sz="4" w:space="0" w:color="auto"/>
              <w:right w:val="single" w:sz="4" w:space="0" w:color="auto"/>
            </w:tcBorders>
          </w:tcPr>
          <w:p w14:paraId="43B436CA" w14:textId="77777777" w:rsidR="00210DC6" w:rsidRPr="00210DC6" w:rsidRDefault="0F90D236" w:rsidP="0F90D236">
            <w:pPr>
              <w:spacing w:before="60" w:after="60"/>
              <w:rPr>
                <w:b/>
                <w:bCs/>
              </w:rPr>
            </w:pPr>
            <w:r w:rsidRPr="0F90D236">
              <w:rPr>
                <w:b/>
                <w:bCs/>
              </w:rPr>
              <w:t>2. Design of the action</w:t>
            </w:r>
          </w:p>
        </w:tc>
        <w:tc>
          <w:tcPr>
            <w:tcW w:w="1260" w:type="dxa"/>
            <w:tcBorders>
              <w:top w:val="single" w:sz="4" w:space="0" w:color="auto"/>
              <w:left w:val="single" w:sz="4" w:space="0" w:color="auto"/>
              <w:bottom w:val="single" w:sz="4" w:space="0" w:color="auto"/>
              <w:right w:val="single" w:sz="4" w:space="0" w:color="auto"/>
            </w:tcBorders>
            <w:vAlign w:val="center"/>
          </w:tcPr>
          <w:p w14:paraId="73A6B49A" w14:textId="77777777" w:rsidR="00210DC6" w:rsidRPr="00210DC6" w:rsidRDefault="0F90D236" w:rsidP="00535BE3">
            <w:pPr>
              <w:spacing w:before="60" w:after="60"/>
            </w:pPr>
            <w:r>
              <w:t>Sub-score</w:t>
            </w:r>
          </w:p>
        </w:tc>
        <w:tc>
          <w:tcPr>
            <w:tcW w:w="529" w:type="dxa"/>
            <w:tcBorders>
              <w:top w:val="single" w:sz="4" w:space="0" w:color="auto"/>
              <w:left w:val="single" w:sz="4" w:space="0" w:color="auto"/>
              <w:bottom w:val="single" w:sz="4" w:space="0" w:color="auto"/>
              <w:right w:val="single" w:sz="4" w:space="0" w:color="auto"/>
            </w:tcBorders>
          </w:tcPr>
          <w:p w14:paraId="5D6B7440" w14:textId="77777777" w:rsidR="00210DC6" w:rsidRPr="00210DC6" w:rsidRDefault="0783902A" w:rsidP="0783902A">
            <w:pPr>
              <w:spacing w:before="60" w:after="60"/>
              <w:rPr>
                <w:b/>
                <w:bCs/>
              </w:rPr>
            </w:pPr>
            <w:r w:rsidRPr="0783902A">
              <w:rPr>
                <w:b/>
                <w:bCs/>
              </w:rPr>
              <w:t>30</w:t>
            </w:r>
          </w:p>
        </w:tc>
      </w:tr>
      <w:tr w:rsidR="00210DC6" w:rsidRPr="00210DC6" w14:paraId="22E8F789" w14:textId="77777777" w:rsidTr="078390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8208" w:type="dxa"/>
            <w:tcBorders>
              <w:top w:val="single" w:sz="4" w:space="0" w:color="auto"/>
              <w:left w:val="single" w:sz="4" w:space="0" w:color="auto"/>
              <w:bottom w:val="single" w:sz="4" w:space="0" w:color="auto"/>
              <w:right w:val="single" w:sz="4" w:space="0" w:color="auto"/>
            </w:tcBorders>
          </w:tcPr>
          <w:p w14:paraId="02F94E45" w14:textId="77777777" w:rsidR="00210DC6" w:rsidRPr="00210DC6" w:rsidRDefault="00210DC6" w:rsidP="00877BCA">
            <w:pPr>
              <w:spacing w:before="60" w:after="60"/>
              <w:ind w:left="462" w:hanging="462"/>
            </w:pPr>
            <w:r w:rsidRPr="00210DC6">
              <w:t>2.1</w:t>
            </w:r>
            <w:r w:rsidRPr="00210DC6">
              <w:tab/>
              <w:t xml:space="preserve">How coherent is the overall design of the action? </w:t>
            </w:r>
          </w:p>
          <w:p w14:paraId="313C63D7" w14:textId="77777777" w:rsidR="00210DC6" w:rsidRPr="00210DC6" w:rsidRDefault="0F90D236" w:rsidP="00877BCA">
            <w:pPr>
              <w:spacing w:before="60" w:after="60"/>
              <w:ind w:left="462"/>
            </w:pPr>
            <w:r>
              <w:t>Does the proposal indicate the expected results to be achieved by the action? Does the intervention logic explain the rationale to achieve the expected results?</w:t>
            </w:r>
          </w:p>
        </w:tc>
        <w:tc>
          <w:tcPr>
            <w:tcW w:w="1260" w:type="dxa"/>
            <w:tcBorders>
              <w:top w:val="single" w:sz="4" w:space="0" w:color="auto"/>
              <w:left w:val="single" w:sz="4" w:space="0" w:color="auto"/>
              <w:bottom w:val="single" w:sz="4" w:space="0" w:color="auto"/>
              <w:right w:val="single" w:sz="4" w:space="0" w:color="auto"/>
            </w:tcBorders>
            <w:vAlign w:val="center"/>
          </w:tcPr>
          <w:p w14:paraId="74CF007A" w14:textId="77777777" w:rsidR="00210DC6" w:rsidRPr="00210DC6" w:rsidRDefault="0F90D236" w:rsidP="00535BE3">
            <w:pPr>
              <w:spacing w:before="60" w:after="60"/>
              <w:jc w:val="center"/>
            </w:pPr>
            <w:r>
              <w:t>5x2***</w:t>
            </w:r>
          </w:p>
        </w:tc>
        <w:tc>
          <w:tcPr>
            <w:tcW w:w="529" w:type="dxa"/>
            <w:vMerge w:val="restart"/>
            <w:tcBorders>
              <w:top w:val="single" w:sz="4" w:space="0" w:color="auto"/>
              <w:left w:val="single" w:sz="4" w:space="0" w:color="auto"/>
              <w:bottom w:val="single" w:sz="4" w:space="0" w:color="auto"/>
              <w:right w:val="single" w:sz="4" w:space="0" w:color="auto"/>
            </w:tcBorders>
            <w:shd w:val="clear" w:color="auto" w:fill="auto"/>
          </w:tcPr>
          <w:p w14:paraId="44524334" w14:textId="77777777" w:rsidR="00210DC6" w:rsidRPr="00210DC6" w:rsidRDefault="00210DC6" w:rsidP="00535BE3">
            <w:pPr>
              <w:spacing w:before="60" w:after="60"/>
              <w:rPr>
                <w:u w:val="single"/>
              </w:rPr>
            </w:pPr>
          </w:p>
        </w:tc>
      </w:tr>
      <w:tr w:rsidR="00210DC6" w:rsidRPr="00210DC6" w14:paraId="4782F2B4" w14:textId="77777777" w:rsidTr="078390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2"/>
        </w:trPr>
        <w:tc>
          <w:tcPr>
            <w:tcW w:w="8208" w:type="dxa"/>
            <w:tcBorders>
              <w:top w:val="single" w:sz="4" w:space="0" w:color="auto"/>
              <w:left w:val="single" w:sz="4" w:space="0" w:color="auto"/>
              <w:bottom w:val="single" w:sz="4" w:space="0" w:color="auto"/>
              <w:right w:val="single" w:sz="4" w:space="0" w:color="auto"/>
            </w:tcBorders>
          </w:tcPr>
          <w:p w14:paraId="5E6D0DD9" w14:textId="77777777" w:rsidR="00210DC6" w:rsidRPr="00210DC6" w:rsidRDefault="00210DC6" w:rsidP="00877BCA">
            <w:pPr>
              <w:spacing w:before="60" w:after="60"/>
              <w:ind w:left="462" w:hanging="462"/>
            </w:pPr>
            <w:r w:rsidRPr="00210DC6">
              <w:lastRenderedPageBreak/>
              <w:t>2.2</w:t>
            </w:r>
            <w:r w:rsidRPr="00210DC6">
              <w:tab/>
              <w:t>Does the design reflect a robust analysis of the problems involved, and the capacities of the relevant stakeholders?</w:t>
            </w:r>
          </w:p>
        </w:tc>
        <w:tc>
          <w:tcPr>
            <w:tcW w:w="1260" w:type="dxa"/>
            <w:tcBorders>
              <w:top w:val="single" w:sz="4" w:space="0" w:color="auto"/>
              <w:left w:val="single" w:sz="4" w:space="0" w:color="auto"/>
              <w:bottom w:val="single" w:sz="4" w:space="0" w:color="auto"/>
              <w:right w:val="single" w:sz="4" w:space="0" w:color="auto"/>
            </w:tcBorders>
            <w:vAlign w:val="center"/>
          </w:tcPr>
          <w:p w14:paraId="18B917D3" w14:textId="77777777" w:rsidR="00210DC6" w:rsidRPr="00210DC6" w:rsidRDefault="0783902A" w:rsidP="00535BE3">
            <w:pPr>
              <w:spacing w:before="60" w:after="60"/>
              <w:jc w:val="center"/>
            </w:pPr>
            <w:r>
              <w:t>5</w:t>
            </w:r>
          </w:p>
        </w:tc>
        <w:tc>
          <w:tcPr>
            <w:tcW w:w="529" w:type="dxa"/>
            <w:vMerge/>
            <w:tcBorders>
              <w:left w:val="single" w:sz="4" w:space="0" w:color="auto"/>
              <w:right w:val="single" w:sz="4" w:space="0" w:color="auto"/>
            </w:tcBorders>
            <w:shd w:val="clear" w:color="auto" w:fill="auto"/>
          </w:tcPr>
          <w:p w14:paraId="0FD3B2E7" w14:textId="77777777" w:rsidR="00210DC6" w:rsidRPr="00210DC6" w:rsidRDefault="00210DC6" w:rsidP="00535BE3">
            <w:pPr>
              <w:spacing w:before="60" w:after="60"/>
              <w:rPr>
                <w:u w:val="single"/>
              </w:rPr>
            </w:pPr>
          </w:p>
        </w:tc>
      </w:tr>
      <w:tr w:rsidR="00210DC6" w:rsidRPr="00210DC6" w14:paraId="4BA7985A" w14:textId="77777777" w:rsidTr="00F723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8"/>
        </w:trPr>
        <w:tc>
          <w:tcPr>
            <w:tcW w:w="8208" w:type="dxa"/>
            <w:tcBorders>
              <w:top w:val="single" w:sz="4" w:space="0" w:color="auto"/>
              <w:left w:val="single" w:sz="4" w:space="0" w:color="auto"/>
              <w:bottom w:val="single" w:sz="4" w:space="0" w:color="auto"/>
              <w:right w:val="single" w:sz="4" w:space="0" w:color="auto"/>
            </w:tcBorders>
          </w:tcPr>
          <w:p w14:paraId="05A5B25E" w14:textId="77777777" w:rsidR="00210DC6" w:rsidRPr="00210DC6" w:rsidRDefault="00210DC6" w:rsidP="00877BCA">
            <w:pPr>
              <w:spacing w:before="60" w:after="60"/>
              <w:ind w:left="462" w:hanging="462"/>
            </w:pPr>
            <w:r w:rsidRPr="00210DC6">
              <w:t>2.3</w:t>
            </w:r>
            <w:r w:rsidRPr="00210DC6">
              <w:tab/>
              <w:t xml:space="preserve">Does the design </w:t>
            </w:r>
            <w:proofErr w:type="gramStart"/>
            <w:r w:rsidRPr="00210DC6">
              <w:t>take into account</w:t>
            </w:r>
            <w:proofErr w:type="gramEnd"/>
            <w:r w:rsidRPr="00210DC6">
              <w:t xml:space="preserve"> external factors (risks and assumptions)?</w:t>
            </w:r>
          </w:p>
        </w:tc>
        <w:tc>
          <w:tcPr>
            <w:tcW w:w="1260" w:type="dxa"/>
            <w:tcBorders>
              <w:top w:val="single" w:sz="4" w:space="0" w:color="auto"/>
              <w:left w:val="single" w:sz="4" w:space="0" w:color="auto"/>
              <w:bottom w:val="single" w:sz="4" w:space="0" w:color="auto"/>
              <w:right w:val="single" w:sz="4" w:space="0" w:color="auto"/>
            </w:tcBorders>
            <w:vAlign w:val="center"/>
          </w:tcPr>
          <w:p w14:paraId="40B884DC" w14:textId="77777777" w:rsidR="00210DC6" w:rsidRPr="00210DC6" w:rsidRDefault="0783902A" w:rsidP="00535BE3">
            <w:pPr>
              <w:spacing w:before="60" w:after="60"/>
              <w:jc w:val="center"/>
            </w:pPr>
            <w:r>
              <w:t>5</w:t>
            </w:r>
          </w:p>
        </w:tc>
        <w:tc>
          <w:tcPr>
            <w:tcW w:w="529" w:type="dxa"/>
            <w:tcBorders>
              <w:top w:val="single" w:sz="4" w:space="0" w:color="auto"/>
              <w:left w:val="single" w:sz="4" w:space="0" w:color="auto"/>
              <w:bottom w:val="single" w:sz="4" w:space="0" w:color="auto"/>
              <w:right w:val="single" w:sz="4" w:space="0" w:color="auto"/>
            </w:tcBorders>
            <w:shd w:val="clear" w:color="auto" w:fill="auto"/>
          </w:tcPr>
          <w:p w14:paraId="01CDB50E" w14:textId="77777777" w:rsidR="00210DC6" w:rsidRPr="00210DC6" w:rsidRDefault="00210DC6" w:rsidP="00535BE3">
            <w:pPr>
              <w:spacing w:before="60" w:after="60"/>
              <w:rPr>
                <w:u w:val="single"/>
              </w:rPr>
            </w:pPr>
          </w:p>
        </w:tc>
      </w:tr>
      <w:tr w:rsidR="00210DC6" w:rsidRPr="00210DC6" w14:paraId="40FDF2D4" w14:textId="77777777" w:rsidTr="078390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2"/>
        </w:trPr>
        <w:tc>
          <w:tcPr>
            <w:tcW w:w="8208" w:type="dxa"/>
            <w:tcBorders>
              <w:top w:val="single" w:sz="4" w:space="0" w:color="auto"/>
              <w:left w:val="single" w:sz="4" w:space="0" w:color="auto"/>
              <w:bottom w:val="single" w:sz="4" w:space="0" w:color="auto"/>
              <w:right w:val="single" w:sz="4" w:space="0" w:color="auto"/>
            </w:tcBorders>
          </w:tcPr>
          <w:p w14:paraId="778C8C5C" w14:textId="77777777" w:rsidR="00210DC6" w:rsidRPr="00210DC6" w:rsidRDefault="00210DC6" w:rsidP="00877BCA">
            <w:pPr>
              <w:spacing w:before="60" w:after="60"/>
              <w:ind w:left="462" w:hanging="462"/>
            </w:pPr>
            <w:r w:rsidRPr="00210DC6">
              <w:t>2.4</w:t>
            </w:r>
            <w:r w:rsidRPr="00210DC6">
              <w:tab/>
              <w:t>Are the activities feasible and consistent in relation to the expected results (including timeframe)? Are results (output, outcome and impact) realistic?</w:t>
            </w:r>
          </w:p>
        </w:tc>
        <w:tc>
          <w:tcPr>
            <w:tcW w:w="1260" w:type="dxa"/>
            <w:tcBorders>
              <w:top w:val="single" w:sz="4" w:space="0" w:color="auto"/>
              <w:left w:val="single" w:sz="4" w:space="0" w:color="auto"/>
              <w:bottom w:val="single" w:sz="4" w:space="0" w:color="auto"/>
              <w:right w:val="single" w:sz="4" w:space="0" w:color="auto"/>
            </w:tcBorders>
            <w:vAlign w:val="center"/>
          </w:tcPr>
          <w:p w14:paraId="65F1AA31" w14:textId="77777777" w:rsidR="00210DC6" w:rsidRPr="00210DC6" w:rsidRDefault="0783902A" w:rsidP="00535BE3">
            <w:pPr>
              <w:spacing w:before="60" w:after="60"/>
              <w:jc w:val="center"/>
            </w:pPr>
            <w:r>
              <w:t>5</w:t>
            </w:r>
          </w:p>
        </w:tc>
        <w:tc>
          <w:tcPr>
            <w:tcW w:w="529" w:type="dxa"/>
            <w:tcBorders>
              <w:top w:val="single" w:sz="4" w:space="0" w:color="auto"/>
              <w:left w:val="single" w:sz="4" w:space="0" w:color="auto"/>
              <w:bottom w:val="single" w:sz="4" w:space="0" w:color="auto"/>
              <w:right w:val="single" w:sz="4" w:space="0" w:color="auto"/>
            </w:tcBorders>
            <w:shd w:val="clear" w:color="auto" w:fill="auto"/>
          </w:tcPr>
          <w:p w14:paraId="031B14E9" w14:textId="77777777" w:rsidR="00210DC6" w:rsidRPr="00210DC6" w:rsidRDefault="00210DC6" w:rsidP="00535BE3">
            <w:pPr>
              <w:spacing w:before="60" w:after="60"/>
              <w:rPr>
                <w:u w:val="single"/>
              </w:rPr>
            </w:pPr>
          </w:p>
        </w:tc>
      </w:tr>
      <w:tr w:rsidR="00210DC6" w:rsidRPr="00210DC6" w14:paraId="1580FABB" w14:textId="77777777" w:rsidTr="078390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2"/>
        </w:trPr>
        <w:tc>
          <w:tcPr>
            <w:tcW w:w="8208" w:type="dxa"/>
            <w:tcBorders>
              <w:top w:val="single" w:sz="4" w:space="0" w:color="auto"/>
              <w:left w:val="single" w:sz="4" w:space="0" w:color="auto"/>
              <w:bottom w:val="single" w:sz="4" w:space="0" w:color="auto"/>
              <w:right w:val="single" w:sz="4" w:space="0" w:color="auto"/>
            </w:tcBorders>
          </w:tcPr>
          <w:p w14:paraId="69599418" w14:textId="2C8D3998" w:rsidR="00210DC6" w:rsidRPr="00210DC6" w:rsidRDefault="009C0A3B" w:rsidP="00877BCA">
            <w:pPr>
              <w:spacing w:before="60" w:after="60"/>
              <w:ind w:left="462" w:hanging="462"/>
            </w:pPr>
            <w:r w:rsidRPr="00210DC6">
              <w:t>2.5</w:t>
            </w:r>
            <w:r w:rsidRPr="00210DC6">
              <w:tab/>
              <w:t>To which extent does the proposal integrate relevant cross-cutting elements such as environmental/climate change issues, promotion of gender equality and equal opportunities, needs of disabled people, rights of minorities and rights of indigenous peoples, youth, combating HIV/AIDS (if there is a strong prevalence in the target country/region)?</w:t>
            </w:r>
          </w:p>
        </w:tc>
        <w:tc>
          <w:tcPr>
            <w:tcW w:w="1260" w:type="dxa"/>
            <w:tcBorders>
              <w:top w:val="single" w:sz="4" w:space="0" w:color="auto"/>
              <w:left w:val="single" w:sz="4" w:space="0" w:color="auto"/>
              <w:bottom w:val="single" w:sz="4" w:space="0" w:color="auto"/>
              <w:right w:val="single" w:sz="4" w:space="0" w:color="auto"/>
            </w:tcBorders>
            <w:vAlign w:val="center"/>
          </w:tcPr>
          <w:p w14:paraId="2C934ED6" w14:textId="7CBF5546" w:rsidR="00210DC6" w:rsidRPr="00210DC6" w:rsidRDefault="0F90D236" w:rsidP="00535BE3">
            <w:pPr>
              <w:spacing w:before="60" w:after="60"/>
              <w:jc w:val="center"/>
            </w:pPr>
            <w:r>
              <w:t>5**</w:t>
            </w:r>
            <w:r w:rsidR="004622AD">
              <w:t>**</w:t>
            </w:r>
          </w:p>
        </w:tc>
        <w:tc>
          <w:tcPr>
            <w:tcW w:w="529" w:type="dxa"/>
            <w:tcBorders>
              <w:top w:val="single" w:sz="4" w:space="0" w:color="auto"/>
              <w:left w:val="single" w:sz="4" w:space="0" w:color="auto"/>
              <w:bottom w:val="single" w:sz="4" w:space="0" w:color="auto"/>
              <w:right w:val="single" w:sz="4" w:space="0" w:color="auto"/>
            </w:tcBorders>
            <w:shd w:val="clear" w:color="auto" w:fill="auto"/>
          </w:tcPr>
          <w:p w14:paraId="2A4433B9" w14:textId="77777777" w:rsidR="00210DC6" w:rsidRPr="00210DC6" w:rsidRDefault="00210DC6" w:rsidP="00535BE3">
            <w:pPr>
              <w:spacing w:before="60" w:after="60"/>
              <w:rPr>
                <w:u w:val="single"/>
              </w:rPr>
            </w:pPr>
          </w:p>
        </w:tc>
      </w:tr>
      <w:tr w:rsidR="00210DC6" w:rsidRPr="00210DC6" w14:paraId="43552914" w14:textId="77777777" w:rsidTr="0783902A">
        <w:trPr>
          <w:trHeight w:val="395"/>
        </w:trPr>
        <w:tc>
          <w:tcPr>
            <w:tcW w:w="9468" w:type="dxa"/>
            <w:gridSpan w:val="2"/>
            <w:tcBorders>
              <w:top w:val="single" w:sz="4" w:space="0" w:color="auto"/>
              <w:left w:val="single" w:sz="4" w:space="0" w:color="auto"/>
              <w:bottom w:val="single" w:sz="4" w:space="0" w:color="auto"/>
              <w:right w:val="single" w:sz="4" w:space="0" w:color="auto"/>
            </w:tcBorders>
          </w:tcPr>
          <w:p w14:paraId="101F8618" w14:textId="77777777" w:rsidR="00210DC6" w:rsidRPr="00210DC6" w:rsidRDefault="0F90D236" w:rsidP="0F90D236">
            <w:pPr>
              <w:spacing w:before="60" w:after="60"/>
              <w:jc w:val="right"/>
              <w:rPr>
                <w:b/>
                <w:bCs/>
              </w:rPr>
            </w:pPr>
            <w:r w:rsidRPr="0F90D236">
              <w:rPr>
                <w:b/>
                <w:bCs/>
              </w:rPr>
              <w:t>TOTAL SCORE</w:t>
            </w:r>
          </w:p>
        </w:tc>
        <w:tc>
          <w:tcPr>
            <w:tcW w:w="529" w:type="dxa"/>
            <w:tcBorders>
              <w:top w:val="single" w:sz="4" w:space="0" w:color="auto"/>
              <w:left w:val="single" w:sz="4" w:space="0" w:color="auto"/>
              <w:bottom w:val="single" w:sz="4" w:space="0" w:color="auto"/>
              <w:right w:val="single" w:sz="4" w:space="0" w:color="auto"/>
            </w:tcBorders>
          </w:tcPr>
          <w:p w14:paraId="2467F600" w14:textId="77777777" w:rsidR="00210DC6" w:rsidRPr="00210DC6" w:rsidRDefault="0783902A" w:rsidP="0783902A">
            <w:pPr>
              <w:spacing w:before="60" w:after="60"/>
              <w:rPr>
                <w:b/>
                <w:bCs/>
              </w:rPr>
            </w:pPr>
            <w:r w:rsidRPr="0783902A">
              <w:rPr>
                <w:b/>
                <w:bCs/>
              </w:rPr>
              <w:t>50</w:t>
            </w:r>
          </w:p>
        </w:tc>
      </w:tr>
    </w:tbl>
    <w:p w14:paraId="1E30A339" w14:textId="0B2070A0" w:rsidR="00210DC6" w:rsidRDefault="0F90D236" w:rsidP="00AD46B1">
      <w:pPr>
        <w:spacing w:before="120" w:after="0"/>
      </w:pPr>
      <w:r>
        <w:t xml:space="preserve">* </w:t>
      </w:r>
      <w:r w:rsidRPr="00B6258B">
        <w:rPr>
          <w:b/>
        </w:rPr>
        <w:t>Note:</w:t>
      </w:r>
      <w:r w:rsidRPr="000A257B">
        <w:t xml:space="preserve"> A score of 5 (very good) will only be allocated if the proposal specifically addresses </w:t>
      </w:r>
      <w:r w:rsidRPr="000A257B">
        <w:rPr>
          <w:b/>
          <w:bCs/>
        </w:rPr>
        <w:t>more than one</w:t>
      </w:r>
      <w:r w:rsidRPr="000A257B">
        <w:t xml:space="preserve"> </w:t>
      </w:r>
      <w:r w:rsidRPr="00F24CE2">
        <w:rPr>
          <w:b/>
        </w:rPr>
        <w:t>of the priorities</w:t>
      </w:r>
      <w:r w:rsidRPr="000A257B">
        <w:t xml:space="preserve"> as indicated in Section 1.2 (objectives of the programme) of these guidelines.</w:t>
      </w:r>
    </w:p>
    <w:p w14:paraId="27F0B2C2" w14:textId="43572E4F" w:rsidR="004622AD" w:rsidRPr="00CD1F49" w:rsidRDefault="004622AD" w:rsidP="004622AD">
      <w:pPr>
        <w:spacing w:before="120" w:after="0"/>
      </w:pPr>
      <w:bookmarkStart w:id="63" w:name="_Hlk144454451"/>
      <w:r w:rsidRPr="00CD1F49">
        <w:t xml:space="preserve">** </w:t>
      </w:r>
      <w:r w:rsidRPr="00B6258B">
        <w:rPr>
          <w:b/>
        </w:rPr>
        <w:t>Note:</w:t>
      </w:r>
      <w:r w:rsidRPr="00CD1F49">
        <w:t xml:space="preserve"> </w:t>
      </w:r>
      <w:r w:rsidRPr="00B6258B">
        <w:t xml:space="preserve">A score of 5 (very good) will only be allocated if the proposal involves </w:t>
      </w:r>
      <w:r w:rsidR="00DC5394">
        <w:t xml:space="preserve">a </w:t>
      </w:r>
      <w:r w:rsidRPr="00B6258B">
        <w:t>chamber</w:t>
      </w:r>
      <w:r w:rsidR="00DC5394">
        <w:t>/</w:t>
      </w:r>
      <w:r w:rsidRPr="00B6258B">
        <w:t xml:space="preserve">commodity exchange </w:t>
      </w:r>
      <w:r w:rsidR="00DC5394">
        <w:t xml:space="preserve">(as lead or co-applicant) </w:t>
      </w:r>
      <w:r w:rsidRPr="00B6258B">
        <w:t xml:space="preserve">from the less developed regions of </w:t>
      </w:r>
      <w:proofErr w:type="spellStart"/>
      <w:r w:rsidRPr="00B6258B">
        <w:t>Türkiye</w:t>
      </w:r>
      <w:proofErr w:type="spellEnd"/>
      <w:r w:rsidRPr="00B6258B">
        <w:rPr>
          <w:rStyle w:val="FootnoteReference"/>
          <w:bCs/>
        </w:rPr>
        <w:footnoteReference w:id="18"/>
      </w:r>
      <w:r w:rsidRPr="00B6258B">
        <w:t xml:space="preserve"> or </w:t>
      </w:r>
      <w:r w:rsidR="00DC5394">
        <w:t>a</w:t>
      </w:r>
      <w:r w:rsidRPr="00B6258B">
        <w:t xml:space="preserve"> province significantly affected by the by the earthquake in February 2023 in </w:t>
      </w:r>
      <w:proofErr w:type="spellStart"/>
      <w:r w:rsidRPr="00B6258B">
        <w:t>Türkiye</w:t>
      </w:r>
      <w:proofErr w:type="spellEnd"/>
      <w:r w:rsidRPr="00B6258B">
        <w:rPr>
          <w:rStyle w:val="FootnoteReference"/>
          <w:bCs/>
        </w:rPr>
        <w:footnoteReference w:id="19"/>
      </w:r>
      <w:r w:rsidRPr="00B6258B">
        <w:t xml:space="preserve">. </w:t>
      </w:r>
      <w:r w:rsidR="00DC5394">
        <w:t>Involvement of more than one chamber/commodity exchange from these cities will have no further effect on the scoring.</w:t>
      </w:r>
    </w:p>
    <w:bookmarkEnd w:id="63"/>
    <w:p w14:paraId="3C96EC77" w14:textId="77777777" w:rsidR="004622AD" w:rsidRPr="00210DC6" w:rsidRDefault="004622AD" w:rsidP="004622AD">
      <w:pPr>
        <w:spacing w:before="120" w:after="0"/>
      </w:pPr>
      <w:r>
        <w:t xml:space="preserve">*** This score is multiplied by 2 because of its importance  </w:t>
      </w:r>
    </w:p>
    <w:p w14:paraId="5D4E4B0F" w14:textId="51C40E29" w:rsidR="004622AD" w:rsidRPr="004820EC" w:rsidRDefault="00210DC6" w:rsidP="00AD46B1">
      <w:pPr>
        <w:spacing w:before="120" w:after="0"/>
      </w:pPr>
      <w:r w:rsidRPr="004E544E">
        <w:t>**</w:t>
      </w:r>
      <w:r w:rsidR="004622AD" w:rsidRPr="004E544E">
        <w:t>**</w:t>
      </w:r>
      <w:r w:rsidRPr="004E544E">
        <w:t xml:space="preserve"> </w:t>
      </w:r>
      <w:r w:rsidRPr="004820EC">
        <w:rPr>
          <w:b/>
        </w:rPr>
        <w:t>Note:</w:t>
      </w:r>
      <w:r w:rsidRPr="004820EC">
        <w:t xml:space="preserve"> A score of 5 (very good) </w:t>
      </w:r>
      <w:r w:rsidR="003561D7" w:rsidRPr="003561D7">
        <w:t>will only be allocated if the proposal specifically addresses at least one of the cross-cutting issues indicated in Important Note</w:t>
      </w:r>
      <w:r w:rsidR="002329EF">
        <w:t>-</w:t>
      </w:r>
      <w:r w:rsidR="003561D7" w:rsidRPr="003561D7">
        <w:t>3.</w:t>
      </w:r>
    </w:p>
    <w:p w14:paraId="1CB30E7B" w14:textId="77777777" w:rsidR="00210DC6" w:rsidRPr="00210DC6" w:rsidRDefault="0F90D236" w:rsidP="00AD46B1">
      <w:pPr>
        <w:spacing w:before="120" w:after="0"/>
      </w:pPr>
      <w:r>
        <w:t xml:space="preserve">Once all concept notes have been assessed, a list will be drawn up with the proposed actions ranked according to their total score. </w:t>
      </w:r>
    </w:p>
    <w:p w14:paraId="1C3F4DD1" w14:textId="77777777" w:rsidR="00210DC6" w:rsidRPr="00210DC6" w:rsidRDefault="0F90D236" w:rsidP="00AD46B1">
      <w:pPr>
        <w:spacing w:before="120" w:after="0"/>
      </w:pPr>
      <w:r>
        <w:t xml:space="preserve">Firstly, only the concept notes with a score of </w:t>
      </w:r>
      <w:r w:rsidRPr="0F90D236">
        <w:rPr>
          <w:b/>
          <w:bCs/>
        </w:rPr>
        <w:t>at least 30 will</w:t>
      </w:r>
      <w:r>
        <w:t xml:space="preserve"> be considered for pre-selection. </w:t>
      </w:r>
    </w:p>
    <w:p w14:paraId="43990931" w14:textId="51BC07E6" w:rsidR="00210DC6" w:rsidRPr="00210DC6" w:rsidRDefault="0F90D236" w:rsidP="00AD46B1">
      <w:pPr>
        <w:spacing w:before="120" w:after="0"/>
      </w:pPr>
      <w:r>
        <w:t xml:space="preserve">Secondly, the number of concept notes will be reduced, taking account of the ranking, to the number of </w:t>
      </w:r>
      <w:proofErr w:type="gramStart"/>
      <w:r>
        <w:t>concept</w:t>
      </w:r>
      <w:proofErr w:type="gramEnd"/>
      <w:r>
        <w:t xml:space="preserve"> notes whose total aggregate amount of requested contributions is equal to %300 of the available budget for this call for proposals. The amount of requested contributions of each concept note will be based on the indicative financial envelope for the call.</w:t>
      </w:r>
    </w:p>
    <w:p w14:paraId="61027477" w14:textId="156ADB66" w:rsidR="00210DC6" w:rsidRPr="00210DC6" w:rsidRDefault="0F90D236" w:rsidP="00AD46B1">
      <w:pPr>
        <w:spacing w:before="120" w:after="0"/>
      </w:pPr>
      <w:r>
        <w:t xml:space="preserve">After the evaluation of concept notes, the contracting authority will send </w:t>
      </w:r>
      <w:r w:rsidRPr="00D86580">
        <w:t>e-mails</w:t>
      </w:r>
      <w:r w:rsidR="00C37837">
        <w:rPr>
          <w:rStyle w:val="FootnoteReference"/>
        </w:rPr>
        <w:footnoteReference w:id="20"/>
      </w:r>
      <w:r>
        <w:t xml:space="preserve"> to all lead applicants, indicating whether their application was submitted by the deadline, informing them of the reference number they have been allocated, whether the concept note was evaluated and the results of that evaluation. The pre-selected lead applicants will subsequently be invited to submit full applications.</w:t>
      </w:r>
    </w:p>
    <w:bookmarkEnd w:id="58"/>
    <w:bookmarkEnd w:id="59"/>
    <w:bookmarkEnd w:id="60"/>
    <w:bookmarkEnd w:id="61"/>
    <w:p w14:paraId="77FCD2C2" w14:textId="3891DB31" w:rsidR="007A3169" w:rsidRPr="00807DAF" w:rsidRDefault="0F90D236" w:rsidP="00B6258B">
      <w:pPr>
        <w:spacing w:before="120" w:after="0"/>
        <w:ind w:left="1418" w:hanging="1418"/>
        <w:rPr>
          <w:b/>
          <w:bCs/>
          <w:sz w:val="24"/>
          <w:szCs w:val="24"/>
        </w:rPr>
      </w:pPr>
      <w:r w:rsidRPr="0F90D236">
        <w:rPr>
          <w:b/>
          <w:bCs/>
          <w:sz w:val="24"/>
          <w:szCs w:val="24"/>
        </w:rPr>
        <w:t>(2) STEP 2: OPENING &amp; ADMINISTRATIVE CHECKS AND EVALUATION OF THE FULL APPLICATION</w:t>
      </w:r>
    </w:p>
    <w:p w14:paraId="03665B1E" w14:textId="65F313F7" w:rsidR="00047C7D" w:rsidRPr="00161BDC" w:rsidRDefault="0F90D236" w:rsidP="00AD46B1">
      <w:pPr>
        <w:spacing w:before="120" w:after="0"/>
      </w:pPr>
      <w:r>
        <w:t>Firstly, the following will be assessed:</w:t>
      </w:r>
    </w:p>
    <w:p w14:paraId="08C238D6" w14:textId="54F0F884" w:rsidR="00047C7D" w:rsidRPr="00161BDC" w:rsidRDefault="0F90D236" w:rsidP="00AD46B1">
      <w:pPr>
        <w:numPr>
          <w:ilvl w:val="0"/>
          <w:numId w:val="22"/>
        </w:numPr>
        <w:spacing w:before="120" w:after="0"/>
      </w:pPr>
      <w:r>
        <w:t>If the submission deadline has been met. Otherwise, the application will automatically be rejected.</w:t>
      </w:r>
    </w:p>
    <w:p w14:paraId="1E0B204B" w14:textId="4E92B4CD" w:rsidR="00047C7D" w:rsidRPr="00161BDC" w:rsidRDefault="0F90D236" w:rsidP="00AD46B1">
      <w:pPr>
        <w:numPr>
          <w:ilvl w:val="0"/>
          <w:numId w:val="22"/>
        </w:numPr>
        <w:spacing w:before="120" w:after="0"/>
      </w:pPr>
      <w:r>
        <w:t xml:space="preserve">If the full application satisfies all the criteria specified in the checklist (Section 7 of Part B of the grant application form). This includes also an assessment of the eligibility of the action. If any of the requested information is missing or is incorrect, the application may be rejected on that </w:t>
      </w:r>
      <w:r w:rsidRPr="0F90D236">
        <w:rPr>
          <w:b/>
          <w:bCs/>
          <w:u w:val="single"/>
        </w:rPr>
        <w:t>sole</w:t>
      </w:r>
      <w:r>
        <w:t xml:space="preserve"> basis and the application will not be evaluated further.</w:t>
      </w:r>
    </w:p>
    <w:p w14:paraId="2BE299B7" w14:textId="0F3030A7" w:rsidR="0007408E" w:rsidRPr="00161BDC" w:rsidRDefault="0F90D236" w:rsidP="00AD46B1">
      <w:pPr>
        <w:spacing w:before="120" w:after="0"/>
      </w:pPr>
      <w:r>
        <w:lastRenderedPageBreak/>
        <w:t>The full applications that pass this check: they will be further evaluated on their quality, including the proposed budget and capacity of the applicants</w:t>
      </w:r>
      <w:r w:rsidR="003B454A" w:rsidRPr="003B454A">
        <w:t xml:space="preserve"> and affiliated entity(</w:t>
      </w:r>
      <w:proofErr w:type="spellStart"/>
      <w:r w:rsidR="003B454A" w:rsidRPr="003B454A">
        <w:t>ies</w:t>
      </w:r>
      <w:proofErr w:type="spellEnd"/>
      <w:r w:rsidR="003B454A" w:rsidRPr="003B454A">
        <w:t>)</w:t>
      </w:r>
      <w:r>
        <w:t>. They will be evaluated using the evaluation criteria in the evaluation grid below. There are two types of evaluation criteria: selection and award criteria.</w:t>
      </w:r>
    </w:p>
    <w:p w14:paraId="038BD904" w14:textId="2164E03C" w:rsidR="0007408E" w:rsidRPr="00161BDC" w:rsidRDefault="0F90D236" w:rsidP="00AD46B1">
      <w:pPr>
        <w:spacing w:before="120" w:after="0"/>
      </w:pPr>
      <w:r w:rsidRPr="0F90D236">
        <w:rPr>
          <w:b/>
          <w:bCs/>
          <w:u w:val="single"/>
        </w:rPr>
        <w:t>The selection criteria</w:t>
      </w:r>
      <w:r>
        <w:t xml:space="preserve"> help to evaluate the applicants' </w:t>
      </w:r>
      <w:r w:rsidR="0012561C" w:rsidRPr="00807DAF">
        <w:t>and affiliated entity(</w:t>
      </w:r>
      <w:proofErr w:type="spellStart"/>
      <w:r w:rsidR="0012561C" w:rsidRPr="00807DAF">
        <w:t>ies</w:t>
      </w:r>
      <w:proofErr w:type="spellEnd"/>
      <w:r w:rsidR="0012561C" w:rsidRPr="00807DAF">
        <w:t>)'s</w:t>
      </w:r>
      <w:r w:rsidR="0012561C">
        <w:t xml:space="preserve"> </w:t>
      </w:r>
      <w:r>
        <w:t>operational capacity and the lead applicant's financial capacity and are used to verify that they:</w:t>
      </w:r>
    </w:p>
    <w:p w14:paraId="2711290D" w14:textId="77777777" w:rsidR="0007408E" w:rsidRPr="00807DAF" w:rsidRDefault="0F90D236" w:rsidP="00AD46B1">
      <w:pPr>
        <w:numPr>
          <w:ilvl w:val="0"/>
          <w:numId w:val="23"/>
        </w:numPr>
        <w:spacing w:before="120" w:after="0"/>
      </w:pPr>
      <w:r>
        <w:t>have stable and sufficient sources of finance to maintain their activity throughout the proposed action and, where appropriate, to participate in its funding (this only applies to lead applicants);</w:t>
      </w:r>
    </w:p>
    <w:p w14:paraId="58608CD8" w14:textId="49C9E222" w:rsidR="0007408E" w:rsidRDefault="0F90D236" w:rsidP="00AD46B1">
      <w:pPr>
        <w:numPr>
          <w:ilvl w:val="0"/>
          <w:numId w:val="23"/>
        </w:numPr>
        <w:spacing w:before="120" w:after="0"/>
      </w:pPr>
      <w:r>
        <w:t>have the management capacity, professional competencies and qualifications required to successfully complete the proposed action. This applies to applicants</w:t>
      </w:r>
      <w:r w:rsidR="0012561C" w:rsidRPr="0012561C">
        <w:t xml:space="preserve"> </w:t>
      </w:r>
      <w:r w:rsidR="0012561C">
        <w:t>and</w:t>
      </w:r>
      <w:r w:rsidR="0012561C" w:rsidRPr="00807DAF">
        <w:t xml:space="preserve"> any affiliated entity(</w:t>
      </w:r>
      <w:proofErr w:type="spellStart"/>
      <w:r w:rsidR="0012561C" w:rsidRPr="00807DAF">
        <w:t>ies</w:t>
      </w:r>
      <w:proofErr w:type="spellEnd"/>
      <w:r w:rsidR="0012561C" w:rsidRPr="00807DAF">
        <w:t>)</w:t>
      </w:r>
      <w:r>
        <w:t>.</w:t>
      </w:r>
    </w:p>
    <w:p w14:paraId="0B08325C" w14:textId="77777777" w:rsidR="0007408E" w:rsidRPr="00807DAF" w:rsidRDefault="0F90D236" w:rsidP="00AD46B1">
      <w:pPr>
        <w:spacing w:before="120" w:after="0"/>
      </w:pPr>
      <w:r w:rsidRPr="0F90D236">
        <w:rPr>
          <w:b/>
          <w:bCs/>
          <w:u w:val="single"/>
        </w:rPr>
        <w:t>The award criteria</w:t>
      </w:r>
      <w:r>
        <w:t xml:space="preserve"> help to evaluate the quality of the applications in relation to the objectives and priorities set forth in the guidelines, and to award grants to projects which maximise the overall effectiveness of the call for proposals. They help to select applications which the contracting authority can be confident will comply with its objectives and priorities. They cover the relevance of the action, its consistency with the objectives of the call for proposals, quality, expected impact, sustainability and cost-effectiveness.</w:t>
      </w:r>
    </w:p>
    <w:p w14:paraId="54809883" w14:textId="77777777" w:rsidR="00ED5802" w:rsidRPr="00807DAF" w:rsidRDefault="0F90D236" w:rsidP="0F90D236">
      <w:pPr>
        <w:spacing w:before="120" w:after="0"/>
        <w:rPr>
          <w:i/>
          <w:iCs/>
        </w:rPr>
      </w:pPr>
      <w:r w:rsidRPr="0F90D236">
        <w:rPr>
          <w:i/>
          <w:iCs/>
        </w:rPr>
        <w:t>Scoring:</w:t>
      </w:r>
    </w:p>
    <w:p w14:paraId="6467B00E" w14:textId="77777777" w:rsidR="00ED5802" w:rsidRPr="00807DAF" w:rsidRDefault="0F90D236" w:rsidP="00AD46B1">
      <w:pPr>
        <w:spacing w:before="120" w:after="120"/>
      </w:pPr>
      <w:r>
        <w:t xml:space="preserve">The evaluation grid is divided into Sections and subsections. Each subsection will be given a score between 1 and 5 as follows: 1 = very poor; 2 = poor; 3 = adequate; 4 = good; 5 = very good. </w:t>
      </w:r>
    </w:p>
    <w:p w14:paraId="78D9FA73" w14:textId="00E38429" w:rsidR="0007408E" w:rsidRPr="00807DAF" w:rsidRDefault="0F90D236" w:rsidP="0F90D236">
      <w:pPr>
        <w:rPr>
          <w:b/>
          <w:bCs/>
        </w:rPr>
      </w:pPr>
      <w:r w:rsidRPr="0F90D236">
        <w:rPr>
          <w:b/>
          <w:bCs/>
        </w:rPr>
        <w:t>Evaluation grid</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gridCol w:w="1275"/>
      </w:tblGrid>
      <w:tr w:rsidR="00682B40" w:rsidRPr="00807DAF" w14:paraId="1CA931E6" w14:textId="77777777" w:rsidTr="0783902A">
        <w:tc>
          <w:tcPr>
            <w:tcW w:w="8472" w:type="dxa"/>
            <w:vAlign w:val="center"/>
          </w:tcPr>
          <w:p w14:paraId="5D6A0729" w14:textId="77777777" w:rsidR="00682B40" w:rsidRPr="00807DAF" w:rsidRDefault="0F90D236" w:rsidP="0F90D236">
            <w:pPr>
              <w:spacing w:before="60" w:after="60"/>
              <w:rPr>
                <w:b/>
                <w:bCs/>
              </w:rPr>
            </w:pPr>
            <w:r w:rsidRPr="0F90D236">
              <w:rPr>
                <w:b/>
                <w:bCs/>
              </w:rPr>
              <w:t>Section</w:t>
            </w:r>
          </w:p>
        </w:tc>
        <w:tc>
          <w:tcPr>
            <w:tcW w:w="1275" w:type="dxa"/>
            <w:vAlign w:val="center"/>
          </w:tcPr>
          <w:p w14:paraId="47A193A0" w14:textId="77777777" w:rsidR="00682B40" w:rsidRPr="00807DAF" w:rsidRDefault="0F90D236" w:rsidP="0F90D236">
            <w:pPr>
              <w:spacing w:before="60" w:after="60"/>
              <w:jc w:val="center"/>
              <w:rPr>
                <w:b/>
                <w:bCs/>
              </w:rPr>
            </w:pPr>
            <w:r w:rsidRPr="0F90D236">
              <w:rPr>
                <w:b/>
                <w:bCs/>
              </w:rPr>
              <w:t>Maximum Score</w:t>
            </w:r>
          </w:p>
        </w:tc>
      </w:tr>
      <w:tr w:rsidR="004B4447" w:rsidRPr="00807DAF" w14:paraId="3A0F71E4" w14:textId="77777777" w:rsidTr="00B6258B">
        <w:tc>
          <w:tcPr>
            <w:tcW w:w="8472" w:type="dxa"/>
            <w:shd w:val="clear" w:color="auto" w:fill="D9D9D9" w:themeFill="background1" w:themeFillShade="D9"/>
            <w:vAlign w:val="center"/>
          </w:tcPr>
          <w:p w14:paraId="21EC170E" w14:textId="77777777" w:rsidR="004B4447" w:rsidRPr="00807DAF" w:rsidRDefault="0F90D236" w:rsidP="00AD46B1">
            <w:pPr>
              <w:spacing w:before="60" w:after="60"/>
              <w:rPr>
                <w:szCs w:val="22"/>
              </w:rPr>
            </w:pPr>
            <w:r w:rsidRPr="0F90D236">
              <w:rPr>
                <w:b/>
                <w:bCs/>
              </w:rPr>
              <w:t>1. Financial and operational capacity</w:t>
            </w:r>
          </w:p>
        </w:tc>
        <w:tc>
          <w:tcPr>
            <w:tcW w:w="1275" w:type="dxa"/>
            <w:shd w:val="clear" w:color="auto" w:fill="D9D9D9" w:themeFill="background1" w:themeFillShade="D9"/>
            <w:vAlign w:val="center"/>
          </w:tcPr>
          <w:p w14:paraId="793D2709" w14:textId="77777777" w:rsidR="004B4447" w:rsidRPr="00807DAF" w:rsidRDefault="0783902A" w:rsidP="0783902A">
            <w:pPr>
              <w:spacing w:before="60" w:after="60"/>
              <w:jc w:val="center"/>
              <w:rPr>
                <w:b/>
                <w:bCs/>
              </w:rPr>
            </w:pPr>
            <w:r w:rsidRPr="0783902A">
              <w:rPr>
                <w:b/>
                <w:bCs/>
              </w:rPr>
              <w:t>20</w:t>
            </w:r>
          </w:p>
        </w:tc>
      </w:tr>
      <w:tr w:rsidR="004B4447" w:rsidRPr="00807DAF" w14:paraId="300D11B8" w14:textId="77777777" w:rsidTr="0783902A">
        <w:tc>
          <w:tcPr>
            <w:tcW w:w="8472" w:type="dxa"/>
          </w:tcPr>
          <w:p w14:paraId="7D9107C6" w14:textId="56246AD9" w:rsidR="004B4447" w:rsidRPr="00807DAF" w:rsidRDefault="004B4447" w:rsidP="00AD46B1">
            <w:pPr>
              <w:spacing w:before="60" w:after="60"/>
              <w:ind w:left="425" w:hanging="425"/>
              <w:rPr>
                <w:szCs w:val="22"/>
              </w:rPr>
            </w:pPr>
            <w:r w:rsidRPr="0F90D236">
              <w:t>1.1</w:t>
            </w:r>
            <w:r w:rsidR="00810C9F">
              <w:rPr>
                <w:szCs w:val="22"/>
              </w:rPr>
              <w:tab/>
            </w:r>
            <w:r w:rsidRPr="0F90D236">
              <w:t>Do the applicant</w:t>
            </w:r>
            <w:r w:rsidR="000852E9" w:rsidRPr="0F90D236">
              <w:t>s</w:t>
            </w:r>
            <w:r w:rsidRPr="0F90D236">
              <w:t xml:space="preserve"> </w:t>
            </w:r>
            <w:r w:rsidR="0012561C" w:rsidRPr="00807DAF">
              <w:rPr>
                <w:szCs w:val="22"/>
              </w:rPr>
              <w:t>and, if applicable, their affiliated entity(</w:t>
            </w:r>
            <w:proofErr w:type="spellStart"/>
            <w:r w:rsidR="0012561C" w:rsidRPr="00807DAF">
              <w:rPr>
                <w:szCs w:val="22"/>
              </w:rPr>
              <w:t>ies</w:t>
            </w:r>
            <w:proofErr w:type="spellEnd"/>
            <w:r w:rsidR="0012561C" w:rsidRPr="00807DAF">
              <w:rPr>
                <w:szCs w:val="22"/>
              </w:rPr>
              <w:t xml:space="preserve">) </w:t>
            </w:r>
            <w:r w:rsidRPr="0F90D236">
              <w:t>have sufficient</w:t>
            </w:r>
            <w:r w:rsidR="00810C9F" w:rsidRPr="0F90D236">
              <w:t xml:space="preserve"> in-house</w:t>
            </w:r>
            <w:r w:rsidRPr="0F90D236">
              <w:t xml:space="preserve"> experience of project</w:t>
            </w:r>
            <w:r w:rsidRPr="0F90D236">
              <w:rPr>
                <w:b/>
                <w:bCs/>
              </w:rPr>
              <w:t xml:space="preserve"> </w:t>
            </w:r>
            <w:r w:rsidRPr="0F90D236">
              <w:t xml:space="preserve">management? </w:t>
            </w:r>
          </w:p>
        </w:tc>
        <w:tc>
          <w:tcPr>
            <w:tcW w:w="1275" w:type="dxa"/>
            <w:vAlign w:val="center"/>
          </w:tcPr>
          <w:p w14:paraId="3FE42FDD" w14:textId="77777777" w:rsidR="004B4447" w:rsidRPr="00807DAF" w:rsidRDefault="0783902A" w:rsidP="00AD46B1">
            <w:pPr>
              <w:spacing w:before="60" w:after="60"/>
              <w:jc w:val="center"/>
              <w:rPr>
                <w:szCs w:val="22"/>
              </w:rPr>
            </w:pPr>
            <w:r>
              <w:t>5</w:t>
            </w:r>
          </w:p>
        </w:tc>
      </w:tr>
      <w:tr w:rsidR="004B4447" w:rsidRPr="00807DAF" w14:paraId="44BB0512" w14:textId="77777777" w:rsidTr="0783902A">
        <w:tc>
          <w:tcPr>
            <w:tcW w:w="8472" w:type="dxa"/>
          </w:tcPr>
          <w:p w14:paraId="006D90EC" w14:textId="6B148F92" w:rsidR="004B4447" w:rsidRPr="00807DAF" w:rsidRDefault="004B4447" w:rsidP="00AD46B1">
            <w:pPr>
              <w:spacing w:before="60" w:after="60"/>
              <w:ind w:left="425" w:hanging="425"/>
              <w:rPr>
                <w:szCs w:val="22"/>
              </w:rPr>
            </w:pPr>
            <w:r w:rsidRPr="0F90D236">
              <w:t>1.2</w:t>
            </w:r>
            <w:r w:rsidR="00810C9F">
              <w:rPr>
                <w:szCs w:val="22"/>
              </w:rPr>
              <w:tab/>
            </w:r>
            <w:r w:rsidRPr="0F90D236">
              <w:t>Do the applicant</w:t>
            </w:r>
            <w:r w:rsidR="000852E9" w:rsidRPr="0F90D236">
              <w:t>s</w:t>
            </w:r>
            <w:r w:rsidRPr="0F90D236">
              <w:t xml:space="preserve"> </w:t>
            </w:r>
            <w:r w:rsidR="0012561C" w:rsidRPr="00807DAF">
              <w:rPr>
                <w:szCs w:val="22"/>
              </w:rPr>
              <w:t>and, if applicable, their affiliated entity(</w:t>
            </w:r>
            <w:proofErr w:type="spellStart"/>
            <w:r w:rsidR="0012561C" w:rsidRPr="00807DAF">
              <w:rPr>
                <w:szCs w:val="22"/>
              </w:rPr>
              <w:t>ies</w:t>
            </w:r>
            <w:proofErr w:type="spellEnd"/>
            <w:r w:rsidR="0012561C" w:rsidRPr="00807DAF">
              <w:rPr>
                <w:szCs w:val="22"/>
              </w:rPr>
              <w:t xml:space="preserve">) </w:t>
            </w:r>
            <w:r w:rsidRPr="0F90D236">
              <w:t>have sufficient</w:t>
            </w:r>
            <w:r w:rsidR="00810C9F" w:rsidRPr="0F90D236">
              <w:t xml:space="preserve"> in-house</w:t>
            </w:r>
            <w:r w:rsidRPr="0F90D236">
              <w:t xml:space="preserve"> technical expertise? (</w:t>
            </w:r>
            <w:r w:rsidR="006F44FB" w:rsidRPr="0F90D236">
              <w:t xml:space="preserve">especially </w:t>
            </w:r>
            <w:r w:rsidRPr="0F90D236">
              <w:t>knowledge of the issues to be addressed)</w:t>
            </w:r>
          </w:p>
        </w:tc>
        <w:tc>
          <w:tcPr>
            <w:tcW w:w="1275" w:type="dxa"/>
            <w:vAlign w:val="center"/>
          </w:tcPr>
          <w:p w14:paraId="065D4F62" w14:textId="77777777" w:rsidR="004B4447" w:rsidRPr="00807DAF" w:rsidRDefault="0783902A" w:rsidP="00AD46B1">
            <w:pPr>
              <w:spacing w:before="60" w:after="60"/>
              <w:jc w:val="center"/>
              <w:rPr>
                <w:szCs w:val="22"/>
              </w:rPr>
            </w:pPr>
            <w:r>
              <w:t>5</w:t>
            </w:r>
          </w:p>
        </w:tc>
      </w:tr>
      <w:tr w:rsidR="004B4447" w:rsidRPr="00807DAF" w14:paraId="253A2986" w14:textId="77777777" w:rsidTr="0783902A">
        <w:tc>
          <w:tcPr>
            <w:tcW w:w="8472" w:type="dxa"/>
            <w:tcBorders>
              <w:bottom w:val="nil"/>
            </w:tcBorders>
          </w:tcPr>
          <w:p w14:paraId="55BE57CA" w14:textId="2AD0CAEB" w:rsidR="004B4447" w:rsidRPr="00807DAF" w:rsidRDefault="004B4447" w:rsidP="00AD46B1">
            <w:pPr>
              <w:spacing w:before="60" w:after="60"/>
              <w:ind w:left="425" w:hanging="425"/>
              <w:jc w:val="left"/>
              <w:rPr>
                <w:szCs w:val="22"/>
              </w:rPr>
            </w:pPr>
            <w:r w:rsidRPr="0F90D236">
              <w:t>1.3</w:t>
            </w:r>
            <w:r w:rsidR="00810C9F">
              <w:rPr>
                <w:szCs w:val="22"/>
              </w:rPr>
              <w:tab/>
            </w:r>
            <w:r w:rsidRPr="0F90D236">
              <w:t>Do the applicant</w:t>
            </w:r>
            <w:r w:rsidR="000852E9" w:rsidRPr="0F90D236">
              <w:t>s</w:t>
            </w:r>
            <w:r w:rsidRPr="0F90D236">
              <w:t xml:space="preserve"> </w:t>
            </w:r>
            <w:r w:rsidR="0012561C" w:rsidRPr="00807DAF">
              <w:rPr>
                <w:szCs w:val="22"/>
              </w:rPr>
              <w:t>and, if applicable, their affiliated entity(</w:t>
            </w:r>
            <w:proofErr w:type="spellStart"/>
            <w:r w:rsidR="0012561C" w:rsidRPr="00807DAF">
              <w:rPr>
                <w:szCs w:val="22"/>
              </w:rPr>
              <w:t>ies</w:t>
            </w:r>
            <w:proofErr w:type="spellEnd"/>
            <w:r w:rsidR="0012561C" w:rsidRPr="00807DAF">
              <w:rPr>
                <w:szCs w:val="22"/>
              </w:rPr>
              <w:t xml:space="preserve">) </w:t>
            </w:r>
            <w:r w:rsidRPr="0F90D236">
              <w:t>have sufficient</w:t>
            </w:r>
            <w:r w:rsidR="00810C9F" w:rsidRPr="0F90D236">
              <w:t xml:space="preserve"> in-house</w:t>
            </w:r>
            <w:r w:rsidRPr="0F90D236">
              <w:t xml:space="preserve"> management capacity? (</w:t>
            </w:r>
            <w:r w:rsidR="00407D7F" w:rsidRPr="0F90D236">
              <w:t>I</w:t>
            </w:r>
            <w:r w:rsidRPr="0F90D236">
              <w:t>ncluding staff, equipment and ability to handle the budget for the action)?</w:t>
            </w:r>
          </w:p>
        </w:tc>
        <w:tc>
          <w:tcPr>
            <w:tcW w:w="1275" w:type="dxa"/>
            <w:tcBorders>
              <w:bottom w:val="nil"/>
            </w:tcBorders>
            <w:vAlign w:val="center"/>
          </w:tcPr>
          <w:p w14:paraId="023ACF95" w14:textId="77777777" w:rsidR="004B4447" w:rsidRPr="00807DAF" w:rsidRDefault="0783902A" w:rsidP="00AD46B1">
            <w:pPr>
              <w:spacing w:before="60" w:after="60"/>
              <w:jc w:val="center"/>
              <w:rPr>
                <w:szCs w:val="22"/>
              </w:rPr>
            </w:pPr>
            <w:r>
              <w:t>5</w:t>
            </w:r>
          </w:p>
        </w:tc>
      </w:tr>
      <w:tr w:rsidR="004B4447" w:rsidRPr="00807DAF" w14:paraId="335582B2" w14:textId="77777777" w:rsidTr="0783902A">
        <w:tc>
          <w:tcPr>
            <w:tcW w:w="8472" w:type="dxa"/>
            <w:tcBorders>
              <w:bottom w:val="single" w:sz="4" w:space="0" w:color="auto"/>
            </w:tcBorders>
          </w:tcPr>
          <w:p w14:paraId="4357BB78" w14:textId="77777777" w:rsidR="004B4447" w:rsidRPr="00807DAF" w:rsidRDefault="004B4447" w:rsidP="00AD46B1">
            <w:pPr>
              <w:spacing w:before="60" w:after="60"/>
              <w:ind w:left="425" w:hanging="425"/>
              <w:rPr>
                <w:szCs w:val="22"/>
              </w:rPr>
            </w:pPr>
            <w:r w:rsidRPr="0F90D236">
              <w:t>1.4</w:t>
            </w:r>
            <w:r w:rsidR="00810C9F">
              <w:rPr>
                <w:szCs w:val="22"/>
              </w:rPr>
              <w:tab/>
            </w:r>
            <w:r w:rsidRPr="0F90D236">
              <w:t>Do</w:t>
            </w:r>
            <w:r w:rsidR="00E94856" w:rsidRPr="0F90D236">
              <w:t>es</w:t>
            </w:r>
            <w:r w:rsidRPr="0F90D236">
              <w:t xml:space="preserve"> the </w:t>
            </w:r>
            <w:r w:rsidR="004044E0" w:rsidRPr="0F90D236">
              <w:t xml:space="preserve">lead </w:t>
            </w:r>
            <w:r w:rsidRPr="0F90D236">
              <w:t>applicant have stable and sufficient sources of finance?</w:t>
            </w:r>
          </w:p>
        </w:tc>
        <w:tc>
          <w:tcPr>
            <w:tcW w:w="1275" w:type="dxa"/>
            <w:tcBorders>
              <w:bottom w:val="single" w:sz="4" w:space="0" w:color="auto"/>
            </w:tcBorders>
            <w:vAlign w:val="center"/>
          </w:tcPr>
          <w:p w14:paraId="17BFC782" w14:textId="77777777" w:rsidR="004B4447" w:rsidRPr="00807DAF" w:rsidRDefault="0783902A" w:rsidP="00AD46B1">
            <w:pPr>
              <w:spacing w:before="60" w:after="60"/>
              <w:jc w:val="center"/>
              <w:rPr>
                <w:szCs w:val="22"/>
              </w:rPr>
            </w:pPr>
            <w:r>
              <w:t>5</w:t>
            </w:r>
          </w:p>
        </w:tc>
      </w:tr>
      <w:tr w:rsidR="00682B40" w:rsidRPr="00807DAF" w14:paraId="690ED485" w14:textId="77777777" w:rsidTr="00B6258B">
        <w:tc>
          <w:tcPr>
            <w:tcW w:w="8472" w:type="dxa"/>
            <w:tcBorders>
              <w:bottom w:val="single" w:sz="4" w:space="0" w:color="auto"/>
            </w:tcBorders>
            <w:shd w:val="clear" w:color="auto" w:fill="D9D9D9" w:themeFill="background1" w:themeFillShade="D9"/>
          </w:tcPr>
          <w:p w14:paraId="7283B08A" w14:textId="77777777" w:rsidR="00682B40" w:rsidRPr="00807DAF" w:rsidRDefault="0F90D236" w:rsidP="00AD46B1">
            <w:pPr>
              <w:spacing w:before="60" w:after="60"/>
              <w:rPr>
                <w:szCs w:val="22"/>
              </w:rPr>
            </w:pPr>
            <w:r w:rsidRPr="0F90D236">
              <w:rPr>
                <w:b/>
                <w:bCs/>
              </w:rPr>
              <w:t>2. Relevance</w:t>
            </w:r>
          </w:p>
        </w:tc>
        <w:tc>
          <w:tcPr>
            <w:tcW w:w="1275" w:type="dxa"/>
            <w:tcBorders>
              <w:bottom w:val="single" w:sz="4" w:space="0" w:color="auto"/>
            </w:tcBorders>
            <w:shd w:val="clear" w:color="auto" w:fill="D9D9D9" w:themeFill="background1" w:themeFillShade="D9"/>
            <w:vAlign w:val="center"/>
          </w:tcPr>
          <w:p w14:paraId="4118A215" w14:textId="77777777" w:rsidR="00682B40" w:rsidRPr="00807DAF" w:rsidRDefault="0783902A" w:rsidP="0783902A">
            <w:pPr>
              <w:spacing w:before="60" w:after="60"/>
              <w:jc w:val="center"/>
              <w:rPr>
                <w:b/>
                <w:bCs/>
              </w:rPr>
            </w:pPr>
            <w:r w:rsidRPr="0783902A">
              <w:rPr>
                <w:b/>
                <w:bCs/>
              </w:rPr>
              <w:t>20</w:t>
            </w:r>
          </w:p>
        </w:tc>
      </w:tr>
      <w:tr w:rsidR="00682B40" w:rsidRPr="00807DAF" w14:paraId="01988DA4" w14:textId="77777777" w:rsidTr="0783902A">
        <w:tc>
          <w:tcPr>
            <w:tcW w:w="8472" w:type="dxa"/>
            <w:shd w:val="clear" w:color="auto" w:fill="FFFFFF" w:themeFill="background1"/>
          </w:tcPr>
          <w:p w14:paraId="78FBEACC" w14:textId="77777777" w:rsidR="00682B40" w:rsidRPr="00807DAF" w:rsidRDefault="0F90D236" w:rsidP="0F90D236">
            <w:pPr>
              <w:spacing w:before="60" w:after="60"/>
              <w:rPr>
                <w:i/>
                <w:iCs/>
              </w:rPr>
            </w:pPr>
            <w:r w:rsidRPr="0F90D236">
              <w:rPr>
                <w:i/>
                <w:iCs/>
              </w:rPr>
              <w:t>Score transferred from the Concept Note evaluation</w:t>
            </w:r>
          </w:p>
        </w:tc>
        <w:tc>
          <w:tcPr>
            <w:tcW w:w="1275" w:type="dxa"/>
            <w:shd w:val="clear" w:color="auto" w:fill="FFFFFF" w:themeFill="background1"/>
            <w:vAlign w:val="center"/>
          </w:tcPr>
          <w:p w14:paraId="736B974E" w14:textId="77777777" w:rsidR="00682B40" w:rsidRPr="00807DAF" w:rsidRDefault="00682B40" w:rsidP="00AD46B1">
            <w:pPr>
              <w:spacing w:before="60" w:after="60"/>
              <w:jc w:val="center"/>
              <w:rPr>
                <w:b/>
                <w:szCs w:val="22"/>
              </w:rPr>
            </w:pPr>
          </w:p>
        </w:tc>
      </w:tr>
      <w:tr w:rsidR="00682B40" w:rsidRPr="00807DAF" w14:paraId="50890054" w14:textId="77777777" w:rsidTr="00B6258B">
        <w:tc>
          <w:tcPr>
            <w:tcW w:w="8472" w:type="dxa"/>
            <w:shd w:val="clear" w:color="auto" w:fill="D9D9D9" w:themeFill="background1" w:themeFillShade="D9"/>
            <w:vAlign w:val="center"/>
          </w:tcPr>
          <w:p w14:paraId="547E7B42" w14:textId="77777777" w:rsidR="00682B40" w:rsidRPr="00807DAF" w:rsidRDefault="0F90D236" w:rsidP="00AD46B1">
            <w:pPr>
              <w:spacing w:before="60" w:after="60"/>
              <w:rPr>
                <w:szCs w:val="22"/>
              </w:rPr>
            </w:pPr>
            <w:r w:rsidRPr="0F90D236">
              <w:rPr>
                <w:b/>
                <w:bCs/>
              </w:rPr>
              <w:t>3. Design of the action</w:t>
            </w:r>
          </w:p>
        </w:tc>
        <w:tc>
          <w:tcPr>
            <w:tcW w:w="1275" w:type="dxa"/>
            <w:shd w:val="clear" w:color="auto" w:fill="D9D9D9" w:themeFill="background1" w:themeFillShade="D9"/>
            <w:vAlign w:val="center"/>
          </w:tcPr>
          <w:p w14:paraId="134B730A" w14:textId="77777777" w:rsidR="00682B40" w:rsidRPr="00807DAF" w:rsidRDefault="0783902A" w:rsidP="0783902A">
            <w:pPr>
              <w:spacing w:before="60" w:after="60"/>
              <w:jc w:val="center"/>
              <w:rPr>
                <w:b/>
                <w:bCs/>
              </w:rPr>
            </w:pPr>
            <w:r w:rsidRPr="0783902A">
              <w:rPr>
                <w:b/>
                <w:bCs/>
              </w:rPr>
              <w:t>15</w:t>
            </w:r>
          </w:p>
        </w:tc>
      </w:tr>
      <w:tr w:rsidR="00682B40" w:rsidRPr="00807DAF" w14:paraId="7311FEF9" w14:textId="77777777" w:rsidTr="0783902A">
        <w:tc>
          <w:tcPr>
            <w:tcW w:w="8472" w:type="dxa"/>
          </w:tcPr>
          <w:p w14:paraId="32DE6B1C" w14:textId="77777777" w:rsidR="00682B40" w:rsidRPr="00807DAF" w:rsidRDefault="00682B40" w:rsidP="00AD46B1">
            <w:pPr>
              <w:spacing w:before="60" w:after="60"/>
              <w:ind w:left="425" w:hanging="425"/>
              <w:rPr>
                <w:szCs w:val="22"/>
              </w:rPr>
            </w:pPr>
            <w:r w:rsidRPr="0F90D236">
              <w:t>3.1</w:t>
            </w:r>
            <w:r w:rsidR="00810C9F">
              <w:rPr>
                <w:szCs w:val="22"/>
              </w:rPr>
              <w:tab/>
            </w:r>
            <w:r w:rsidR="00810C9F" w:rsidRPr="0F90D236">
              <w:t>How coherent is the design of the action? Does the proposal indicate the expected results to be achieved by the action? Does the intervention logic explain the rationale to achieve the expected results? Are the activities proposed appropriate, practical, and consistent with the envisaged outputs and outcome(s)?</w:t>
            </w:r>
          </w:p>
        </w:tc>
        <w:tc>
          <w:tcPr>
            <w:tcW w:w="1275" w:type="dxa"/>
            <w:vAlign w:val="center"/>
          </w:tcPr>
          <w:p w14:paraId="19BFEDC9" w14:textId="77777777" w:rsidR="00682B40" w:rsidRPr="00807DAF" w:rsidRDefault="0783902A" w:rsidP="00AD46B1">
            <w:pPr>
              <w:spacing w:before="60" w:after="60"/>
              <w:jc w:val="center"/>
              <w:rPr>
                <w:szCs w:val="22"/>
              </w:rPr>
            </w:pPr>
            <w:r>
              <w:t>5</w:t>
            </w:r>
          </w:p>
        </w:tc>
      </w:tr>
      <w:tr w:rsidR="00682B40" w:rsidRPr="00807DAF" w14:paraId="7CB6418A" w14:textId="77777777" w:rsidTr="0783902A">
        <w:tc>
          <w:tcPr>
            <w:tcW w:w="8472" w:type="dxa"/>
          </w:tcPr>
          <w:p w14:paraId="146F9730" w14:textId="77777777" w:rsidR="00682B40" w:rsidRPr="00807DAF" w:rsidRDefault="00682B40" w:rsidP="00AD46B1">
            <w:pPr>
              <w:spacing w:before="60" w:after="60"/>
              <w:ind w:left="425" w:hanging="425"/>
              <w:rPr>
                <w:szCs w:val="22"/>
              </w:rPr>
            </w:pPr>
            <w:r w:rsidRPr="0F90D236">
              <w:t>3.2</w:t>
            </w:r>
            <w:r w:rsidR="00810C9F">
              <w:rPr>
                <w:szCs w:val="22"/>
              </w:rPr>
              <w:tab/>
            </w:r>
            <w:r w:rsidR="00810C9F" w:rsidRPr="0F90D236">
              <w:t>Does the proposal/Logical Framework include credible baseline, targets and sources of verification? If not, is a baseline study foreseen (and is the study budgeted appropriately in the proposal)?</w:t>
            </w:r>
          </w:p>
        </w:tc>
        <w:tc>
          <w:tcPr>
            <w:tcW w:w="1275" w:type="dxa"/>
            <w:vAlign w:val="center"/>
          </w:tcPr>
          <w:p w14:paraId="1807C250" w14:textId="77777777" w:rsidR="00682B40" w:rsidRPr="00807DAF" w:rsidRDefault="0783902A" w:rsidP="00AD46B1">
            <w:pPr>
              <w:spacing w:before="60" w:after="60"/>
              <w:jc w:val="center"/>
              <w:rPr>
                <w:szCs w:val="22"/>
              </w:rPr>
            </w:pPr>
            <w:r>
              <w:t>5</w:t>
            </w:r>
          </w:p>
        </w:tc>
      </w:tr>
      <w:tr w:rsidR="00682B40" w:rsidRPr="00807DAF" w14:paraId="133CEE7E" w14:textId="77777777" w:rsidTr="0783902A">
        <w:tc>
          <w:tcPr>
            <w:tcW w:w="8472" w:type="dxa"/>
          </w:tcPr>
          <w:p w14:paraId="76FD3A19" w14:textId="77777777" w:rsidR="00682B40" w:rsidRPr="00807DAF" w:rsidRDefault="00682B40" w:rsidP="00AD46B1">
            <w:pPr>
              <w:spacing w:before="60" w:after="60"/>
              <w:ind w:left="425" w:hanging="425"/>
              <w:rPr>
                <w:szCs w:val="22"/>
              </w:rPr>
            </w:pPr>
            <w:r w:rsidRPr="0F90D236">
              <w:t>3.3</w:t>
            </w:r>
            <w:r w:rsidR="00810C9F">
              <w:rPr>
                <w:szCs w:val="22"/>
              </w:rPr>
              <w:tab/>
            </w:r>
            <w:r w:rsidR="00810C9F" w:rsidRPr="0F90D236">
              <w:t>Does the design reflect a robust analysis of the problems involved, and the capacities of the relevant stakeholders?</w:t>
            </w:r>
          </w:p>
        </w:tc>
        <w:tc>
          <w:tcPr>
            <w:tcW w:w="1275" w:type="dxa"/>
            <w:vAlign w:val="center"/>
          </w:tcPr>
          <w:p w14:paraId="6BAAD1BB" w14:textId="77777777" w:rsidR="00682B40" w:rsidRPr="00807DAF" w:rsidRDefault="0783902A" w:rsidP="00AD46B1">
            <w:pPr>
              <w:spacing w:before="60" w:after="60"/>
              <w:jc w:val="center"/>
              <w:rPr>
                <w:szCs w:val="22"/>
              </w:rPr>
            </w:pPr>
            <w:r>
              <w:t>5</w:t>
            </w:r>
          </w:p>
        </w:tc>
      </w:tr>
      <w:tr w:rsidR="00C70268" w:rsidRPr="00807DAF" w14:paraId="7FF55099" w14:textId="77777777" w:rsidTr="00B6258B">
        <w:tc>
          <w:tcPr>
            <w:tcW w:w="8472" w:type="dxa"/>
            <w:shd w:val="clear" w:color="auto" w:fill="D9D9D9" w:themeFill="background1" w:themeFillShade="D9"/>
            <w:vAlign w:val="center"/>
          </w:tcPr>
          <w:p w14:paraId="23961F7B" w14:textId="77777777" w:rsidR="00C70268" w:rsidRPr="00807DAF" w:rsidRDefault="0F90D236" w:rsidP="00AD46B1">
            <w:pPr>
              <w:spacing w:before="60" w:after="60"/>
              <w:rPr>
                <w:szCs w:val="22"/>
              </w:rPr>
            </w:pPr>
            <w:r w:rsidRPr="0F90D236">
              <w:rPr>
                <w:b/>
                <w:bCs/>
              </w:rPr>
              <w:t>4. Implementation approach</w:t>
            </w:r>
          </w:p>
        </w:tc>
        <w:tc>
          <w:tcPr>
            <w:tcW w:w="1275" w:type="dxa"/>
            <w:shd w:val="clear" w:color="auto" w:fill="D9D9D9" w:themeFill="background1" w:themeFillShade="D9"/>
            <w:vAlign w:val="center"/>
          </w:tcPr>
          <w:p w14:paraId="51428501" w14:textId="77777777" w:rsidR="00C70268" w:rsidRPr="00807DAF" w:rsidRDefault="0783902A" w:rsidP="0783902A">
            <w:pPr>
              <w:spacing w:before="60" w:after="60"/>
              <w:jc w:val="center"/>
              <w:rPr>
                <w:b/>
                <w:bCs/>
              </w:rPr>
            </w:pPr>
            <w:r w:rsidRPr="0783902A">
              <w:rPr>
                <w:b/>
                <w:bCs/>
              </w:rPr>
              <w:t>15</w:t>
            </w:r>
          </w:p>
        </w:tc>
      </w:tr>
      <w:tr w:rsidR="00C70268" w:rsidRPr="00807DAF" w14:paraId="40E7AFBD" w14:textId="77777777" w:rsidTr="0783902A">
        <w:tc>
          <w:tcPr>
            <w:tcW w:w="8472" w:type="dxa"/>
          </w:tcPr>
          <w:p w14:paraId="01220A9A" w14:textId="77777777" w:rsidR="00C70268" w:rsidRPr="00807DAF" w:rsidRDefault="00C70268" w:rsidP="00AD46B1">
            <w:pPr>
              <w:spacing w:before="60" w:after="60"/>
              <w:ind w:left="425" w:hanging="425"/>
              <w:rPr>
                <w:szCs w:val="22"/>
              </w:rPr>
            </w:pPr>
            <w:r w:rsidRPr="0F90D236">
              <w:t>4.1</w:t>
            </w:r>
            <w:r>
              <w:rPr>
                <w:szCs w:val="22"/>
              </w:rPr>
              <w:tab/>
            </w:r>
            <w:r w:rsidRPr="0F90D236">
              <w:t>Is the action plan for implementing the action clear and feasible? Is the timeline realistic?</w:t>
            </w:r>
          </w:p>
        </w:tc>
        <w:tc>
          <w:tcPr>
            <w:tcW w:w="1275" w:type="dxa"/>
            <w:vAlign w:val="center"/>
          </w:tcPr>
          <w:p w14:paraId="11FD63BB" w14:textId="77777777" w:rsidR="00C70268" w:rsidRPr="00807DAF" w:rsidRDefault="0783902A" w:rsidP="00AD46B1">
            <w:pPr>
              <w:spacing w:before="60" w:after="60"/>
              <w:jc w:val="center"/>
              <w:rPr>
                <w:szCs w:val="22"/>
              </w:rPr>
            </w:pPr>
            <w:r>
              <w:t>5</w:t>
            </w:r>
          </w:p>
        </w:tc>
      </w:tr>
      <w:tr w:rsidR="00C70268" w:rsidRPr="00807DAF" w14:paraId="709BD1FA" w14:textId="77777777" w:rsidTr="0783902A">
        <w:tc>
          <w:tcPr>
            <w:tcW w:w="8472" w:type="dxa"/>
          </w:tcPr>
          <w:p w14:paraId="134DAA7C" w14:textId="77777777" w:rsidR="00C70268" w:rsidRPr="00807DAF" w:rsidRDefault="00C70268" w:rsidP="00AD46B1">
            <w:pPr>
              <w:spacing w:before="60" w:after="60"/>
              <w:ind w:left="425" w:hanging="425"/>
              <w:rPr>
                <w:szCs w:val="22"/>
              </w:rPr>
            </w:pPr>
            <w:r w:rsidRPr="0F90D236">
              <w:t>4.2</w:t>
            </w:r>
            <w:r>
              <w:rPr>
                <w:szCs w:val="22"/>
              </w:rPr>
              <w:tab/>
            </w:r>
            <w:r w:rsidRPr="0F90D236">
              <w:t>Does the proposal include an effective and efficient monitoring system? Is there an evaluation planned (previous, during or/and at the end of the implementation)?</w:t>
            </w:r>
          </w:p>
        </w:tc>
        <w:tc>
          <w:tcPr>
            <w:tcW w:w="1275" w:type="dxa"/>
            <w:vAlign w:val="center"/>
          </w:tcPr>
          <w:p w14:paraId="2592177D" w14:textId="77777777" w:rsidR="00C70268" w:rsidRPr="00807DAF" w:rsidRDefault="0783902A" w:rsidP="00AD46B1">
            <w:pPr>
              <w:spacing w:before="60" w:after="60"/>
              <w:jc w:val="center"/>
              <w:rPr>
                <w:szCs w:val="22"/>
              </w:rPr>
            </w:pPr>
            <w:r>
              <w:t>5</w:t>
            </w:r>
          </w:p>
        </w:tc>
      </w:tr>
      <w:tr w:rsidR="00C70268" w:rsidRPr="00807DAF" w14:paraId="2D421AAD" w14:textId="77777777" w:rsidTr="0783902A">
        <w:tc>
          <w:tcPr>
            <w:tcW w:w="8472" w:type="dxa"/>
            <w:tcBorders>
              <w:bottom w:val="nil"/>
            </w:tcBorders>
          </w:tcPr>
          <w:p w14:paraId="24D34D2C" w14:textId="491E5B2C" w:rsidR="00C70268" w:rsidRPr="00807DAF" w:rsidRDefault="00C70268" w:rsidP="00AD46B1">
            <w:pPr>
              <w:spacing w:before="60" w:after="60"/>
              <w:ind w:left="425" w:hanging="425"/>
              <w:jc w:val="left"/>
              <w:rPr>
                <w:szCs w:val="22"/>
              </w:rPr>
            </w:pPr>
            <w:r w:rsidRPr="0F90D236">
              <w:lastRenderedPageBreak/>
              <w:t>4.3</w:t>
            </w:r>
            <w:r>
              <w:rPr>
                <w:szCs w:val="22"/>
              </w:rPr>
              <w:tab/>
            </w:r>
            <w:r w:rsidRPr="0F90D236">
              <w:t xml:space="preserve">Is the co-applicant(s)'s </w:t>
            </w:r>
            <w:r w:rsidR="0012561C" w:rsidRPr="00C70268">
              <w:rPr>
                <w:szCs w:val="22"/>
              </w:rPr>
              <w:t>and affiliated entity(</w:t>
            </w:r>
            <w:proofErr w:type="spellStart"/>
            <w:r w:rsidR="0012561C" w:rsidRPr="00C70268">
              <w:rPr>
                <w:szCs w:val="22"/>
              </w:rPr>
              <w:t>ies</w:t>
            </w:r>
            <w:proofErr w:type="spellEnd"/>
            <w:r w:rsidR="0012561C" w:rsidRPr="00C70268">
              <w:rPr>
                <w:szCs w:val="22"/>
              </w:rPr>
              <w:t xml:space="preserve">)'s </w:t>
            </w:r>
            <w:r w:rsidRPr="0F90D236">
              <w:t>level of involvement and participation in the action satisfactory?</w:t>
            </w:r>
          </w:p>
        </w:tc>
        <w:tc>
          <w:tcPr>
            <w:tcW w:w="1275" w:type="dxa"/>
            <w:tcBorders>
              <w:bottom w:val="nil"/>
            </w:tcBorders>
            <w:vAlign w:val="center"/>
          </w:tcPr>
          <w:p w14:paraId="59445372" w14:textId="77777777" w:rsidR="00C70268" w:rsidRPr="00807DAF" w:rsidRDefault="0783902A" w:rsidP="00AD46B1">
            <w:pPr>
              <w:spacing w:before="60" w:after="60"/>
              <w:jc w:val="center"/>
              <w:rPr>
                <w:szCs w:val="22"/>
              </w:rPr>
            </w:pPr>
            <w:r>
              <w:t>5</w:t>
            </w:r>
          </w:p>
        </w:tc>
      </w:tr>
      <w:tr w:rsidR="00682B40" w:rsidRPr="00807DAF" w14:paraId="0003EED6" w14:textId="77777777" w:rsidTr="00B6258B">
        <w:tc>
          <w:tcPr>
            <w:tcW w:w="8472" w:type="dxa"/>
            <w:shd w:val="clear" w:color="auto" w:fill="D9D9D9" w:themeFill="background1" w:themeFillShade="D9"/>
            <w:vAlign w:val="center"/>
          </w:tcPr>
          <w:p w14:paraId="5C0625A7" w14:textId="77777777" w:rsidR="00682B40" w:rsidRPr="00807DAF" w:rsidRDefault="00682B40" w:rsidP="00AD46B1">
            <w:pPr>
              <w:spacing w:before="60" w:after="60"/>
              <w:rPr>
                <w:szCs w:val="22"/>
              </w:rPr>
            </w:pPr>
            <w:r>
              <w:br w:type="page"/>
            </w:r>
            <w:r w:rsidR="0F90D236" w:rsidRPr="0F90D236">
              <w:rPr>
                <w:b/>
                <w:bCs/>
              </w:rPr>
              <w:t xml:space="preserve">5. Sustainability of the action </w:t>
            </w:r>
          </w:p>
        </w:tc>
        <w:tc>
          <w:tcPr>
            <w:tcW w:w="1275" w:type="dxa"/>
            <w:shd w:val="clear" w:color="auto" w:fill="D9D9D9" w:themeFill="background1" w:themeFillShade="D9"/>
            <w:vAlign w:val="center"/>
          </w:tcPr>
          <w:p w14:paraId="72DF6A75" w14:textId="77777777" w:rsidR="00682B40" w:rsidRPr="00807DAF" w:rsidRDefault="0783902A" w:rsidP="0783902A">
            <w:pPr>
              <w:spacing w:before="60" w:after="60"/>
              <w:jc w:val="center"/>
              <w:rPr>
                <w:b/>
                <w:bCs/>
              </w:rPr>
            </w:pPr>
            <w:r w:rsidRPr="0783902A">
              <w:rPr>
                <w:b/>
                <w:bCs/>
              </w:rPr>
              <w:t>15</w:t>
            </w:r>
          </w:p>
        </w:tc>
      </w:tr>
      <w:tr w:rsidR="00682B40" w:rsidRPr="00807DAF" w14:paraId="712FC56B" w14:textId="77777777" w:rsidTr="0783902A">
        <w:tc>
          <w:tcPr>
            <w:tcW w:w="8472" w:type="dxa"/>
          </w:tcPr>
          <w:p w14:paraId="31EE439C" w14:textId="77777777" w:rsidR="00682B40" w:rsidRPr="00807DAF" w:rsidRDefault="00C0426E" w:rsidP="00AD46B1">
            <w:pPr>
              <w:spacing w:before="60" w:after="60"/>
              <w:ind w:left="425" w:hanging="425"/>
              <w:rPr>
                <w:szCs w:val="22"/>
              </w:rPr>
            </w:pPr>
            <w:r w:rsidRPr="0F90D236">
              <w:t>5</w:t>
            </w:r>
            <w:r w:rsidR="00682B40" w:rsidRPr="0F90D236">
              <w:t>.1</w:t>
            </w:r>
            <w:r>
              <w:rPr>
                <w:szCs w:val="22"/>
              </w:rPr>
              <w:tab/>
            </w:r>
            <w:r w:rsidR="00682B40" w:rsidRPr="0F90D236">
              <w:t>Is the action likely to have a tangible impact on its target groups?</w:t>
            </w:r>
          </w:p>
        </w:tc>
        <w:tc>
          <w:tcPr>
            <w:tcW w:w="1275" w:type="dxa"/>
            <w:vAlign w:val="center"/>
          </w:tcPr>
          <w:p w14:paraId="1CA49689" w14:textId="77777777" w:rsidR="00682B40" w:rsidRPr="00807DAF" w:rsidRDefault="0783902A" w:rsidP="00AD46B1">
            <w:pPr>
              <w:spacing w:before="60" w:after="60"/>
              <w:jc w:val="center"/>
              <w:rPr>
                <w:szCs w:val="22"/>
              </w:rPr>
            </w:pPr>
            <w:r>
              <w:t>5</w:t>
            </w:r>
          </w:p>
        </w:tc>
      </w:tr>
      <w:tr w:rsidR="00682B40" w:rsidRPr="00807DAF" w14:paraId="4FB74A96" w14:textId="77777777" w:rsidTr="0783902A">
        <w:tc>
          <w:tcPr>
            <w:tcW w:w="8472" w:type="dxa"/>
          </w:tcPr>
          <w:p w14:paraId="50B5928B" w14:textId="77777777" w:rsidR="00682B40" w:rsidRPr="00807DAF" w:rsidRDefault="00C0426E" w:rsidP="00AD46B1">
            <w:pPr>
              <w:spacing w:before="60" w:after="60"/>
              <w:ind w:left="425" w:hanging="425"/>
              <w:rPr>
                <w:szCs w:val="22"/>
              </w:rPr>
            </w:pPr>
            <w:r w:rsidRPr="0F90D236">
              <w:t>5</w:t>
            </w:r>
            <w:r w:rsidR="00682B40" w:rsidRPr="0F90D236">
              <w:t>.2</w:t>
            </w:r>
            <w:r>
              <w:rPr>
                <w:szCs w:val="22"/>
              </w:rPr>
              <w:tab/>
            </w:r>
            <w:r w:rsidR="00682B40" w:rsidRPr="0F90D236">
              <w:t xml:space="preserve">Is the </w:t>
            </w:r>
            <w:r w:rsidRPr="0F90D236">
              <w:t>action</w:t>
            </w:r>
            <w:r w:rsidR="00682B40" w:rsidRPr="0F90D236">
              <w:t xml:space="preserve"> likely to have multiplier effects</w:t>
            </w:r>
            <w:r w:rsidRPr="0F90D236">
              <w:t>,</w:t>
            </w:r>
            <w:r w:rsidR="00682B40" w:rsidRPr="0F90D236">
              <w:t xml:space="preserve"> </w:t>
            </w:r>
            <w:r w:rsidRPr="0F90D236">
              <w:t>i</w:t>
            </w:r>
            <w:r w:rsidR="00682B40" w:rsidRPr="0F90D236">
              <w:t>ncluding scope for replication</w:t>
            </w:r>
            <w:r w:rsidR="002852CE" w:rsidRPr="0F90D236">
              <w:t>,</w:t>
            </w:r>
            <w:r w:rsidR="00682B40" w:rsidRPr="0F90D236">
              <w:t xml:space="preserve"> extension</w:t>
            </w:r>
            <w:r w:rsidRPr="0F90D236">
              <w:t>, capitalisation on experience</w:t>
            </w:r>
            <w:r w:rsidR="00682B40" w:rsidRPr="0F90D236">
              <w:t xml:space="preserve"> and </w:t>
            </w:r>
            <w:r w:rsidRPr="0F90D236">
              <w:t>knowledge</w:t>
            </w:r>
            <w:r w:rsidR="002852CE" w:rsidRPr="0F90D236">
              <w:t xml:space="preserve"> sharing</w:t>
            </w:r>
            <w:r w:rsidRPr="0F90D236">
              <w:t>?</w:t>
            </w:r>
          </w:p>
        </w:tc>
        <w:tc>
          <w:tcPr>
            <w:tcW w:w="1275" w:type="dxa"/>
            <w:vAlign w:val="center"/>
          </w:tcPr>
          <w:p w14:paraId="60C3B9AF" w14:textId="77777777" w:rsidR="00682B40" w:rsidRPr="00807DAF" w:rsidRDefault="0783902A" w:rsidP="00AD46B1">
            <w:pPr>
              <w:spacing w:before="60" w:after="60"/>
              <w:jc w:val="center"/>
              <w:rPr>
                <w:szCs w:val="22"/>
              </w:rPr>
            </w:pPr>
            <w:r>
              <w:t>5</w:t>
            </w:r>
          </w:p>
        </w:tc>
      </w:tr>
      <w:tr w:rsidR="00682B40" w:rsidRPr="00807DAF" w14:paraId="23186AE0" w14:textId="77777777" w:rsidTr="0783902A">
        <w:tc>
          <w:tcPr>
            <w:tcW w:w="8472" w:type="dxa"/>
          </w:tcPr>
          <w:p w14:paraId="45B5386E" w14:textId="77777777" w:rsidR="00682B40" w:rsidRPr="00807DAF" w:rsidRDefault="00C0426E" w:rsidP="00AD46B1">
            <w:pPr>
              <w:spacing w:before="60" w:after="60"/>
              <w:ind w:left="425" w:hanging="425"/>
              <w:rPr>
                <w:szCs w:val="22"/>
              </w:rPr>
            </w:pPr>
            <w:r w:rsidRPr="0F90D236">
              <w:t>5</w:t>
            </w:r>
            <w:r w:rsidR="00682B40" w:rsidRPr="0F90D236">
              <w:t>.3</w:t>
            </w:r>
            <w:r>
              <w:rPr>
                <w:szCs w:val="22"/>
              </w:rPr>
              <w:tab/>
            </w:r>
            <w:r w:rsidR="00682B40" w:rsidRPr="0F90D236">
              <w:t>Are the expected results of the proposed action sustainable</w:t>
            </w:r>
            <w:r w:rsidR="002852CE" w:rsidRPr="0F90D236">
              <w:t>?</w:t>
            </w:r>
          </w:p>
          <w:p w14:paraId="5442A8EE" w14:textId="77777777" w:rsidR="00682B40" w:rsidRPr="00807DAF" w:rsidRDefault="0F90D236" w:rsidP="00AD46B1">
            <w:pPr>
              <w:spacing w:before="60" w:after="60"/>
              <w:ind w:left="510" w:hanging="170"/>
              <w:rPr>
                <w:szCs w:val="22"/>
              </w:rPr>
            </w:pPr>
            <w:r>
              <w:t xml:space="preserve">- Financially </w:t>
            </w:r>
            <w:r w:rsidRPr="0F90D236">
              <w:rPr>
                <w:i/>
                <w:iCs/>
              </w:rPr>
              <w:t>(e.g. financing of follow-up activities, sources of revenue for covering all future operating and maintenance costs)</w:t>
            </w:r>
          </w:p>
          <w:p w14:paraId="1C578B8E" w14:textId="77777777" w:rsidR="00682B40" w:rsidRPr="00807DAF" w:rsidRDefault="0F90D236" w:rsidP="00AD46B1">
            <w:pPr>
              <w:spacing w:before="60" w:after="60"/>
              <w:ind w:left="510" w:hanging="170"/>
              <w:rPr>
                <w:szCs w:val="22"/>
              </w:rPr>
            </w:pPr>
            <w:r>
              <w:t xml:space="preserve">- Institutionally </w:t>
            </w:r>
            <w:r w:rsidRPr="0F90D236">
              <w:rPr>
                <w:i/>
                <w:iCs/>
              </w:rPr>
              <w:t>(will structures allow the results of the action to be sustained at the end of the action? Will there be local ‘ownership’ of the results of the action?)</w:t>
            </w:r>
          </w:p>
          <w:p w14:paraId="659178F0" w14:textId="77777777" w:rsidR="00FA1338" w:rsidRPr="00807DAF" w:rsidRDefault="0F90D236" w:rsidP="00AD46B1">
            <w:pPr>
              <w:spacing w:before="60" w:after="60"/>
              <w:ind w:left="510" w:hanging="170"/>
              <w:rPr>
                <w:iCs/>
                <w:szCs w:val="22"/>
              </w:rPr>
            </w:pPr>
            <w:r>
              <w:t xml:space="preserve">- At policy level (where applicable) </w:t>
            </w:r>
            <w:r w:rsidRPr="0F90D236">
              <w:rPr>
                <w:i/>
                <w:iCs/>
              </w:rPr>
              <w:t>(what will be the structural impact of the action — e.g. improved legislation, codes of conduct, methods)</w:t>
            </w:r>
          </w:p>
          <w:p w14:paraId="18D96B6D" w14:textId="77777777" w:rsidR="00682B40" w:rsidRPr="00807DAF" w:rsidRDefault="0F90D236" w:rsidP="00AD46B1">
            <w:pPr>
              <w:spacing w:before="60" w:after="60"/>
              <w:ind w:left="510" w:hanging="170"/>
              <w:rPr>
                <w:szCs w:val="22"/>
              </w:rPr>
            </w:pPr>
            <w:r>
              <w:t xml:space="preserve">- Environmentally (if applicable) </w:t>
            </w:r>
            <w:r w:rsidRPr="0F90D236">
              <w:rPr>
                <w:i/>
                <w:iCs/>
              </w:rPr>
              <w:t>(will the action have a negative/positive environmental impact?)</w:t>
            </w:r>
          </w:p>
        </w:tc>
        <w:tc>
          <w:tcPr>
            <w:tcW w:w="1275" w:type="dxa"/>
            <w:vAlign w:val="center"/>
          </w:tcPr>
          <w:p w14:paraId="67FAFF13" w14:textId="77777777" w:rsidR="00682B40" w:rsidRPr="00807DAF" w:rsidRDefault="0783902A" w:rsidP="00AD46B1">
            <w:pPr>
              <w:spacing w:before="60" w:after="60"/>
              <w:jc w:val="center"/>
              <w:rPr>
                <w:szCs w:val="22"/>
              </w:rPr>
            </w:pPr>
            <w:r>
              <w:t>5</w:t>
            </w:r>
          </w:p>
        </w:tc>
      </w:tr>
      <w:tr w:rsidR="00682B40" w:rsidRPr="00807DAF" w14:paraId="3E4DB191" w14:textId="77777777" w:rsidTr="00B6258B">
        <w:tc>
          <w:tcPr>
            <w:tcW w:w="8472" w:type="dxa"/>
            <w:shd w:val="clear" w:color="auto" w:fill="D9D9D9" w:themeFill="background1" w:themeFillShade="D9"/>
            <w:vAlign w:val="center"/>
          </w:tcPr>
          <w:p w14:paraId="7AC8C739" w14:textId="77777777" w:rsidR="00682B40" w:rsidRPr="00807DAF" w:rsidRDefault="00682B40" w:rsidP="00AD46B1">
            <w:pPr>
              <w:spacing w:before="60" w:after="60"/>
              <w:rPr>
                <w:szCs w:val="22"/>
              </w:rPr>
            </w:pPr>
            <w:r>
              <w:br w:type="page"/>
            </w:r>
            <w:r w:rsidR="0F90D236" w:rsidRPr="0F90D236">
              <w:rPr>
                <w:b/>
                <w:bCs/>
              </w:rPr>
              <w:t>6. Budget and cost-effectiveness of the action</w:t>
            </w:r>
          </w:p>
        </w:tc>
        <w:tc>
          <w:tcPr>
            <w:tcW w:w="1275" w:type="dxa"/>
            <w:shd w:val="clear" w:color="auto" w:fill="D9D9D9" w:themeFill="background1" w:themeFillShade="D9"/>
            <w:vAlign w:val="center"/>
          </w:tcPr>
          <w:p w14:paraId="038FCA39" w14:textId="77777777" w:rsidR="00682B40" w:rsidRPr="00807DAF" w:rsidRDefault="0783902A" w:rsidP="0783902A">
            <w:pPr>
              <w:spacing w:before="60" w:after="60"/>
              <w:jc w:val="center"/>
              <w:rPr>
                <w:b/>
                <w:bCs/>
              </w:rPr>
            </w:pPr>
            <w:r w:rsidRPr="0783902A">
              <w:rPr>
                <w:b/>
                <w:bCs/>
              </w:rPr>
              <w:t>15</w:t>
            </w:r>
          </w:p>
        </w:tc>
      </w:tr>
      <w:tr w:rsidR="00682B40" w:rsidRPr="00807DAF" w14:paraId="6ABBC38F" w14:textId="77777777" w:rsidTr="0783902A">
        <w:tc>
          <w:tcPr>
            <w:tcW w:w="8472" w:type="dxa"/>
          </w:tcPr>
          <w:p w14:paraId="45A1DEBE" w14:textId="77777777" w:rsidR="00682B40" w:rsidRPr="00807DAF" w:rsidRDefault="00F31C06" w:rsidP="00AD46B1">
            <w:pPr>
              <w:spacing w:before="60" w:after="60"/>
              <w:ind w:left="425" w:hanging="425"/>
              <w:rPr>
                <w:szCs w:val="22"/>
              </w:rPr>
            </w:pPr>
            <w:r w:rsidRPr="0F90D236">
              <w:t>6</w:t>
            </w:r>
            <w:r w:rsidR="00682B40" w:rsidRPr="0F90D236">
              <w:t>.1</w:t>
            </w:r>
            <w:r>
              <w:rPr>
                <w:szCs w:val="22"/>
              </w:rPr>
              <w:tab/>
            </w:r>
            <w:r w:rsidR="00682B40" w:rsidRPr="0F90D236">
              <w:t>Are the activities appropriately reflected in the budget?</w:t>
            </w:r>
          </w:p>
        </w:tc>
        <w:tc>
          <w:tcPr>
            <w:tcW w:w="1275" w:type="dxa"/>
            <w:vAlign w:val="center"/>
          </w:tcPr>
          <w:p w14:paraId="6DEAFB68" w14:textId="3351DBA8" w:rsidR="00682B40" w:rsidRPr="00807DAF" w:rsidRDefault="0783902A" w:rsidP="00AD46B1">
            <w:pPr>
              <w:spacing w:before="60" w:after="60"/>
              <w:jc w:val="center"/>
              <w:rPr>
                <w:szCs w:val="22"/>
              </w:rPr>
            </w:pPr>
            <w:r>
              <w:t>5</w:t>
            </w:r>
          </w:p>
        </w:tc>
      </w:tr>
      <w:tr w:rsidR="00682B40" w:rsidRPr="00807DAF" w14:paraId="0AC700AC" w14:textId="77777777" w:rsidTr="0783902A">
        <w:tc>
          <w:tcPr>
            <w:tcW w:w="8472" w:type="dxa"/>
          </w:tcPr>
          <w:p w14:paraId="404A2BAD" w14:textId="77777777" w:rsidR="00682B40" w:rsidRPr="00807DAF" w:rsidRDefault="00F31C06" w:rsidP="00AD46B1">
            <w:pPr>
              <w:spacing w:before="60" w:after="60"/>
              <w:ind w:left="425" w:hanging="425"/>
              <w:rPr>
                <w:szCs w:val="22"/>
              </w:rPr>
            </w:pPr>
            <w:r w:rsidRPr="0F90D236">
              <w:t>6</w:t>
            </w:r>
            <w:r w:rsidR="00682B40" w:rsidRPr="0F90D236">
              <w:t>.2</w:t>
            </w:r>
            <w:r>
              <w:rPr>
                <w:szCs w:val="22"/>
              </w:rPr>
              <w:tab/>
            </w:r>
            <w:r w:rsidR="00682B40" w:rsidRPr="0F90D236">
              <w:t>Is the ratio between the estimated costs and the results satisfactory?</w:t>
            </w:r>
          </w:p>
        </w:tc>
        <w:tc>
          <w:tcPr>
            <w:tcW w:w="1275" w:type="dxa"/>
            <w:vAlign w:val="center"/>
          </w:tcPr>
          <w:p w14:paraId="787A66CF" w14:textId="66648FCD" w:rsidR="00682B40" w:rsidRPr="00807DAF" w:rsidRDefault="0783902A" w:rsidP="00AD46B1">
            <w:pPr>
              <w:spacing w:before="60" w:after="60"/>
              <w:jc w:val="center"/>
              <w:rPr>
                <w:szCs w:val="22"/>
              </w:rPr>
            </w:pPr>
            <w:r>
              <w:t>10</w:t>
            </w:r>
          </w:p>
        </w:tc>
      </w:tr>
      <w:tr w:rsidR="00682B40" w:rsidRPr="00807DAF" w14:paraId="1ADE2BD0" w14:textId="77777777" w:rsidTr="00B6258B">
        <w:tc>
          <w:tcPr>
            <w:tcW w:w="8472" w:type="dxa"/>
            <w:shd w:val="clear" w:color="auto" w:fill="D9D9D9" w:themeFill="background1" w:themeFillShade="D9"/>
            <w:vAlign w:val="center"/>
          </w:tcPr>
          <w:p w14:paraId="0F718880" w14:textId="77777777" w:rsidR="00682B40" w:rsidRPr="00807DAF" w:rsidRDefault="0F90D236" w:rsidP="0F90D236">
            <w:pPr>
              <w:spacing w:before="60" w:after="60"/>
              <w:rPr>
                <w:b/>
                <w:bCs/>
              </w:rPr>
            </w:pPr>
            <w:r w:rsidRPr="0F90D236">
              <w:rPr>
                <w:b/>
                <w:bCs/>
              </w:rPr>
              <w:t>Maximum total score</w:t>
            </w:r>
          </w:p>
        </w:tc>
        <w:tc>
          <w:tcPr>
            <w:tcW w:w="1275" w:type="dxa"/>
            <w:shd w:val="clear" w:color="auto" w:fill="D9D9D9" w:themeFill="background1" w:themeFillShade="D9"/>
            <w:vAlign w:val="center"/>
          </w:tcPr>
          <w:p w14:paraId="118E4AF4" w14:textId="77777777" w:rsidR="00682B40" w:rsidRPr="00807DAF" w:rsidRDefault="0783902A" w:rsidP="0783902A">
            <w:pPr>
              <w:spacing w:before="60" w:after="60"/>
              <w:jc w:val="center"/>
              <w:rPr>
                <w:b/>
                <w:bCs/>
              </w:rPr>
            </w:pPr>
            <w:r w:rsidRPr="0783902A">
              <w:rPr>
                <w:b/>
                <w:bCs/>
              </w:rPr>
              <w:t>100</w:t>
            </w:r>
          </w:p>
        </w:tc>
      </w:tr>
    </w:tbl>
    <w:p w14:paraId="33AE101F" w14:textId="77777777" w:rsidR="00F248A3" w:rsidRDefault="0F90D236" w:rsidP="00AD46B1">
      <w:pPr>
        <w:spacing w:before="120" w:after="0"/>
      </w:pPr>
      <w:r>
        <w:t xml:space="preserve">If the total score for </w:t>
      </w:r>
      <w:r w:rsidRPr="0F90D236">
        <w:rPr>
          <w:b/>
          <w:bCs/>
        </w:rPr>
        <w:t>Section 1</w:t>
      </w:r>
      <w:r>
        <w:t xml:space="preserve"> (financial and operational capacity) is </w:t>
      </w:r>
      <w:r w:rsidRPr="0F90D236">
        <w:rPr>
          <w:b/>
          <w:bCs/>
        </w:rPr>
        <w:t>less than 12 points</w:t>
      </w:r>
      <w:r>
        <w:t xml:space="preserve">, the application will be rejected. If the score for </w:t>
      </w:r>
      <w:r w:rsidRPr="0F90D236">
        <w:rPr>
          <w:b/>
          <w:bCs/>
        </w:rPr>
        <w:t>at least one of the subsections under Section 1 is 1</w:t>
      </w:r>
      <w:r>
        <w:t>, the application will also be rejected.</w:t>
      </w:r>
    </w:p>
    <w:p w14:paraId="37AD3999" w14:textId="6C8CC4C2" w:rsidR="00B975FF" w:rsidRPr="00807DAF" w:rsidRDefault="0F90D236" w:rsidP="00AD46B1">
      <w:pPr>
        <w:spacing w:before="120" w:after="0"/>
      </w:pPr>
      <w:r>
        <w:t xml:space="preserve">If the lead applicant applies without co-applicants </w:t>
      </w:r>
      <w:r w:rsidR="004C4072">
        <w:t xml:space="preserve">or affiliated entities </w:t>
      </w:r>
      <w:r>
        <w:t xml:space="preserve">the score for point 4.3 shall be 5 unless the involvement of co-applicants </w:t>
      </w:r>
      <w:r w:rsidR="004C4072">
        <w:t xml:space="preserve">or affiliated entities </w:t>
      </w:r>
      <w:r>
        <w:t>is mandatory according to these guidelines for applicants.</w:t>
      </w:r>
    </w:p>
    <w:p w14:paraId="422C1C21" w14:textId="47469701" w:rsidR="00016BA2" w:rsidRPr="00807DAF" w:rsidRDefault="0F90D236" w:rsidP="0F90D236">
      <w:pPr>
        <w:spacing w:before="120" w:after="0"/>
        <w:rPr>
          <w:i/>
          <w:iCs/>
        </w:rPr>
      </w:pPr>
      <w:r w:rsidRPr="0F90D236">
        <w:rPr>
          <w:i/>
          <w:iCs/>
        </w:rPr>
        <w:t>Provisional selection</w:t>
      </w:r>
    </w:p>
    <w:p w14:paraId="46976BD5" w14:textId="7A1BEEAE" w:rsidR="00016BA2" w:rsidRPr="00807DAF" w:rsidRDefault="0F90D236" w:rsidP="00AD46B1">
      <w:pPr>
        <w:spacing w:before="120" w:after="120"/>
      </w:pPr>
      <w:r>
        <w:t>After the evaluation, a table will be drawn up listing the applications ranked according to their score. The highest scoring applications will be provisionally selected until the available budget for this call for proposals is reached. In addition, a reserve list will be drawn up following the same criteria. This list will be used if more funds become available during the validity period of the reserve list.</w:t>
      </w:r>
    </w:p>
    <w:p w14:paraId="0A3C2CEB" w14:textId="3327EF45" w:rsidR="00F20A9C" w:rsidRPr="00807DAF" w:rsidRDefault="00016BA2" w:rsidP="00B6258B">
      <w:pPr>
        <w:spacing w:before="120" w:after="0"/>
        <w:ind w:left="1276" w:hanging="1276"/>
        <w:rPr>
          <w:b/>
          <w:bCs/>
          <w:sz w:val="24"/>
          <w:szCs w:val="24"/>
        </w:rPr>
      </w:pPr>
      <w:r w:rsidRPr="0F90D236">
        <w:rPr>
          <w:b/>
          <w:bCs/>
          <w:sz w:val="24"/>
          <w:szCs w:val="24"/>
        </w:rPr>
        <w:t xml:space="preserve">(3) </w:t>
      </w:r>
      <w:r w:rsidR="00F20A9C" w:rsidRPr="0F90D236">
        <w:rPr>
          <w:b/>
          <w:bCs/>
          <w:sz w:val="24"/>
          <w:szCs w:val="24"/>
        </w:rPr>
        <w:t xml:space="preserve">STEP </w:t>
      </w:r>
      <w:r w:rsidR="00B66332" w:rsidRPr="0F90D236">
        <w:rPr>
          <w:b/>
          <w:bCs/>
          <w:sz w:val="24"/>
          <w:szCs w:val="24"/>
        </w:rPr>
        <w:t>3</w:t>
      </w:r>
      <w:r w:rsidR="00F20A9C" w:rsidRPr="0F90D236">
        <w:rPr>
          <w:b/>
          <w:bCs/>
          <w:sz w:val="24"/>
          <w:szCs w:val="24"/>
        </w:rPr>
        <w:t>:</w:t>
      </w:r>
      <w:r w:rsidR="007C4C56" w:rsidRPr="00807DAF">
        <w:rPr>
          <w:b/>
          <w:sz w:val="24"/>
          <w:szCs w:val="24"/>
        </w:rPr>
        <w:tab/>
      </w:r>
      <w:r w:rsidR="002D0B7B" w:rsidRPr="0F90D236">
        <w:rPr>
          <w:b/>
          <w:bCs/>
          <w:sz w:val="24"/>
          <w:szCs w:val="24"/>
        </w:rPr>
        <w:t>VERIFICATION OF ELIGIBILITY OF THE APPLICANT</w:t>
      </w:r>
      <w:r w:rsidR="00FA1338" w:rsidRPr="0F90D236">
        <w:rPr>
          <w:b/>
          <w:bCs/>
          <w:sz w:val="24"/>
          <w:szCs w:val="24"/>
        </w:rPr>
        <w:t>S</w:t>
      </w:r>
      <w:r w:rsidR="004C4072" w:rsidRPr="004C4072">
        <w:t xml:space="preserve"> </w:t>
      </w:r>
      <w:r w:rsidR="004C4072" w:rsidRPr="004C4072">
        <w:rPr>
          <w:b/>
          <w:bCs/>
          <w:sz w:val="24"/>
          <w:szCs w:val="24"/>
        </w:rPr>
        <w:t>AND AFFILIATED ENTITY(IES)</w:t>
      </w:r>
    </w:p>
    <w:p w14:paraId="4193E606" w14:textId="55D8986C" w:rsidR="00F20A9C" w:rsidRPr="00807DAF" w:rsidRDefault="0F90D236" w:rsidP="00AD46B1">
      <w:pPr>
        <w:spacing w:before="120" w:after="0"/>
      </w:pPr>
      <w:r>
        <w:t xml:space="preserve">The eligibility verification will be performed on the basis of the supporting documents requested by the contracting authority: (see Sections 2.2.5). It will by default </w:t>
      </w:r>
      <w:r w:rsidRPr="0F90D236">
        <w:rPr>
          <w:u w:val="single"/>
        </w:rPr>
        <w:t>only</w:t>
      </w:r>
      <w:r>
        <w:t xml:space="preserve"> be performed for the applications that have been provisionally selected according to their score and within the available budget for this call for proposals. </w:t>
      </w:r>
    </w:p>
    <w:p w14:paraId="61EC45ED" w14:textId="77777777" w:rsidR="00FC4EAA" w:rsidRPr="00807DAF" w:rsidRDefault="0F90D236" w:rsidP="00AD46B1">
      <w:pPr>
        <w:numPr>
          <w:ilvl w:val="0"/>
          <w:numId w:val="24"/>
        </w:numPr>
        <w:spacing w:before="120" w:after="0"/>
      </w:pPr>
      <w:r>
        <w:t xml:space="preserve">The declaration by the lead applicant (Section 8 of Part B of the grant application form) will be cross-checked with the supporting documents provided by the lead applicant. Any missing supporting document or any incoherence between the declaration by the lead applicant and the supporting documents may lead to the rejection of the application on that sole basis. </w:t>
      </w:r>
    </w:p>
    <w:p w14:paraId="40437575" w14:textId="148DE7EC" w:rsidR="00FC4EAA" w:rsidRPr="00807DAF" w:rsidRDefault="0F90D236" w:rsidP="00AD46B1">
      <w:pPr>
        <w:numPr>
          <w:ilvl w:val="0"/>
          <w:numId w:val="24"/>
        </w:numPr>
        <w:spacing w:before="120" w:after="0"/>
      </w:pPr>
      <w:r>
        <w:t xml:space="preserve">The eligibility of applicants </w:t>
      </w:r>
      <w:r w:rsidR="004C4072">
        <w:t>and</w:t>
      </w:r>
      <w:r w:rsidR="004C4072" w:rsidRPr="00807DAF">
        <w:t xml:space="preserve"> the affiliated entity(</w:t>
      </w:r>
      <w:proofErr w:type="spellStart"/>
      <w:r w:rsidR="004C4072" w:rsidRPr="00807DAF">
        <w:t>ies</w:t>
      </w:r>
      <w:proofErr w:type="spellEnd"/>
      <w:r w:rsidR="004C4072" w:rsidRPr="00807DAF">
        <w:t xml:space="preserve">) </w:t>
      </w:r>
      <w:r>
        <w:t>will be verified according to the criteria set out in Section 2.1.1.</w:t>
      </w:r>
    </w:p>
    <w:p w14:paraId="76FDD39B" w14:textId="77777777" w:rsidR="005D7AF3" w:rsidRPr="00807DAF" w:rsidRDefault="0F90D236" w:rsidP="00AD46B1">
      <w:pPr>
        <w:spacing w:before="120" w:after="0"/>
      </w:pPr>
      <w:r>
        <w:t>Any rejected application will be replaced by the next best placed application on the reserve list that falls within the available budget for this call for proposals.</w:t>
      </w:r>
      <w:bookmarkStart w:id="64" w:name="_Toc40507654"/>
    </w:p>
    <w:p w14:paraId="02ABD3CE" w14:textId="16884310" w:rsidR="0007408E" w:rsidRPr="00B6258B" w:rsidRDefault="0F90D236" w:rsidP="00B95230">
      <w:pPr>
        <w:pStyle w:val="Guidelines2"/>
        <w:numPr>
          <w:ilvl w:val="1"/>
          <w:numId w:val="68"/>
        </w:numPr>
      </w:pPr>
      <w:bookmarkStart w:id="65" w:name="_Toc145057281"/>
      <w:r w:rsidRPr="00B6258B">
        <w:t>Submission of supporting documents</w:t>
      </w:r>
      <w:bookmarkEnd w:id="64"/>
      <w:bookmarkEnd w:id="65"/>
    </w:p>
    <w:p w14:paraId="14E927EE" w14:textId="342B6636" w:rsidR="0047530B" w:rsidRDefault="0F90D236" w:rsidP="00AD46B1">
      <w:pPr>
        <w:spacing w:before="120" w:after="0"/>
      </w:pPr>
      <w:r>
        <w:t>The lead applicant should submit the documents listed in Section 2.2.5.</w:t>
      </w:r>
    </w:p>
    <w:p w14:paraId="5322BD0E" w14:textId="49636A17" w:rsidR="00E62B9B" w:rsidRDefault="0047530B" w:rsidP="00AD46B1">
      <w:pPr>
        <w:tabs>
          <w:tab w:val="left" w:pos="567"/>
          <w:tab w:val="left" w:pos="2126"/>
          <w:tab w:val="left" w:pos="2835"/>
        </w:tabs>
        <w:spacing w:before="120" w:after="0"/>
      </w:pPr>
      <w:r>
        <w:lastRenderedPageBreak/>
        <w:t>In addition, a</w:t>
      </w:r>
      <w:r w:rsidR="00504963">
        <w:t xml:space="preserve"> lead a</w:t>
      </w:r>
      <w:r w:rsidR="0007408E" w:rsidRPr="00807DAF">
        <w:t xml:space="preserve">pplicant </w:t>
      </w:r>
      <w:r w:rsidR="004B3788">
        <w:t xml:space="preserve">whose application has </w:t>
      </w:r>
      <w:r w:rsidR="00DE7018" w:rsidRPr="00807DAF">
        <w:t xml:space="preserve">been </w:t>
      </w:r>
      <w:r w:rsidR="001D5B79" w:rsidRPr="00807DAF">
        <w:t xml:space="preserve">provisionally </w:t>
      </w:r>
      <w:r w:rsidR="00DE7018" w:rsidRPr="00807DAF">
        <w:t xml:space="preserve">selected or </w:t>
      </w:r>
      <w:r w:rsidR="002379BB" w:rsidRPr="00807DAF">
        <w:t>placed on</w:t>
      </w:r>
      <w:r w:rsidR="00DE7018" w:rsidRPr="00807DAF">
        <w:t xml:space="preserve"> the reserve list </w:t>
      </w:r>
      <w:r w:rsidR="0007408E" w:rsidRPr="00807DAF">
        <w:t>will be informed in writing</w:t>
      </w:r>
      <w:r w:rsidR="00DB255E">
        <w:t xml:space="preserve"> (</w:t>
      </w:r>
      <w:r w:rsidR="00DB255E" w:rsidRPr="000A257B">
        <w:t>via e-mail</w:t>
      </w:r>
      <w:r w:rsidR="00DB255E">
        <w:rPr>
          <w:rStyle w:val="FootnoteReference"/>
        </w:rPr>
        <w:footnoteReference w:id="21"/>
      </w:r>
      <w:r w:rsidR="00DB255E">
        <w:t>)</w:t>
      </w:r>
      <w:r w:rsidR="0007408E" w:rsidRPr="00807DAF">
        <w:t xml:space="preserve"> </w:t>
      </w:r>
      <w:r w:rsidR="00DE7018" w:rsidRPr="00807DAF">
        <w:t>by</w:t>
      </w:r>
      <w:r w:rsidR="0007408E" w:rsidRPr="00807DAF">
        <w:t xml:space="preserve"> the </w:t>
      </w:r>
      <w:r w:rsidR="00A11755">
        <w:t>c</w:t>
      </w:r>
      <w:r w:rsidR="0007408E" w:rsidRPr="00807DAF">
        <w:t xml:space="preserve">ontracting </w:t>
      </w:r>
      <w:r w:rsidR="00A11755">
        <w:t>a</w:t>
      </w:r>
      <w:r w:rsidR="00DE7018" w:rsidRPr="00807DAF">
        <w:t>uthority</w:t>
      </w:r>
      <w:r w:rsidR="009C1C8B" w:rsidRPr="00807DAF">
        <w:t xml:space="preserve">. </w:t>
      </w:r>
      <w:r w:rsidR="00725B7A" w:rsidRPr="00807DAF">
        <w:t xml:space="preserve">It </w:t>
      </w:r>
      <w:r w:rsidR="00DE7018" w:rsidRPr="00807DAF">
        <w:t>will be requested to supply the following documents</w:t>
      </w:r>
      <w:r w:rsidR="00582CF8">
        <w:t>:</w:t>
      </w:r>
      <w:r w:rsidR="00DE7018" w:rsidRPr="00807DAF">
        <w:t xml:space="preserve"> </w:t>
      </w:r>
    </w:p>
    <w:p w14:paraId="457AD2BB" w14:textId="37A10BA3" w:rsidR="00DB255E" w:rsidRPr="002012DE" w:rsidRDefault="0783902A" w:rsidP="0783902A">
      <w:pPr>
        <w:pStyle w:val="ListParagraph"/>
        <w:numPr>
          <w:ilvl w:val="0"/>
          <w:numId w:val="32"/>
        </w:numPr>
        <w:spacing w:before="120" w:after="0"/>
        <w:rPr>
          <w:szCs w:val="22"/>
        </w:rPr>
      </w:pPr>
      <w:r w:rsidRPr="004820EC">
        <w:t>The decision of the lead applicant’s</w:t>
      </w:r>
      <w:r w:rsidR="004820EC" w:rsidRPr="004820EC">
        <w:t>,</w:t>
      </w:r>
      <w:r w:rsidRPr="004820EC">
        <w:t xml:space="preserve"> of each co-applicant’s</w:t>
      </w:r>
      <w:r>
        <w:t xml:space="preserve"> </w:t>
      </w:r>
      <w:r w:rsidR="004820EC">
        <w:t xml:space="preserve">and of each affiliated entity’s (if any) </w:t>
      </w:r>
      <w:r>
        <w:t xml:space="preserve">managing bodies to implement the project with a nomination of the person(s) empowered to represent and sign. </w:t>
      </w:r>
    </w:p>
    <w:p w14:paraId="4F3CAD10" w14:textId="4BFEB129" w:rsidR="00DB255E" w:rsidRPr="002012DE" w:rsidRDefault="002012DE" w:rsidP="00AD46B1">
      <w:pPr>
        <w:numPr>
          <w:ilvl w:val="0"/>
          <w:numId w:val="32"/>
        </w:numPr>
        <w:spacing w:before="120" w:after="0"/>
      </w:pPr>
      <w:r w:rsidRPr="004820EC">
        <w:t>Notarized sample of signature(s)</w:t>
      </w:r>
      <w:r w:rsidRPr="002012DE">
        <w:t xml:space="preserve"> for representative(s) empowered to represent and sign for the lead applicant</w:t>
      </w:r>
      <w:r w:rsidR="004820EC">
        <w:t>,</w:t>
      </w:r>
      <w:r w:rsidRPr="002012DE">
        <w:t xml:space="preserve"> each co-applicant </w:t>
      </w:r>
      <w:r w:rsidR="004820EC">
        <w:t xml:space="preserve">and each affiliated entity (if any) </w:t>
      </w:r>
      <w:r w:rsidRPr="0F90D236">
        <w:rPr>
          <w:rFonts w:eastAsia="Calibri"/>
          <w:noProof/>
          <w:snapToGrid/>
        </w:rPr>
        <w:t>(</w:t>
      </w:r>
      <w:r w:rsidRPr="0783902A">
        <w:rPr>
          <w:rFonts w:eastAsia="Calibri"/>
          <w:i/>
          <w:iCs/>
          <w:noProof/>
          <w:snapToGrid/>
        </w:rPr>
        <w:t>sample signature of the person</w:t>
      </w:r>
      <w:r w:rsidR="004820EC">
        <w:rPr>
          <w:rFonts w:eastAsia="Calibri"/>
          <w:i/>
          <w:iCs/>
          <w:noProof/>
          <w:snapToGrid/>
        </w:rPr>
        <w:t>(s)</w:t>
      </w:r>
      <w:r w:rsidRPr="0783902A">
        <w:rPr>
          <w:rFonts w:eastAsia="Calibri"/>
          <w:i/>
          <w:iCs/>
          <w:noProof/>
          <w:snapToGrid/>
        </w:rPr>
        <w:t xml:space="preserve"> empowered to represent and sign nominated in the </w:t>
      </w:r>
      <w:r w:rsidR="00BE4204" w:rsidRPr="0783902A">
        <w:rPr>
          <w:rFonts w:eastAsia="Calibri"/>
          <w:i/>
          <w:iCs/>
          <w:noProof/>
          <w:snapToGrid/>
        </w:rPr>
        <w:t>1</w:t>
      </w:r>
      <w:r w:rsidR="00BE4204" w:rsidRPr="0783902A">
        <w:rPr>
          <w:rFonts w:eastAsia="Calibri"/>
          <w:i/>
          <w:iCs/>
          <w:noProof/>
          <w:snapToGrid/>
          <w:vertAlign w:val="superscript"/>
        </w:rPr>
        <w:t>st</w:t>
      </w:r>
      <w:r w:rsidR="00DB255E" w:rsidRPr="0783902A">
        <w:rPr>
          <w:rFonts w:eastAsia="Calibri"/>
          <w:i/>
          <w:iCs/>
          <w:noProof/>
          <w:snapToGrid/>
        </w:rPr>
        <w:t xml:space="preserve"> </w:t>
      </w:r>
      <w:r w:rsidRPr="0783902A">
        <w:rPr>
          <w:rFonts w:eastAsia="Calibri"/>
          <w:i/>
          <w:iCs/>
          <w:noProof/>
          <w:snapToGrid/>
        </w:rPr>
        <w:t>article</w:t>
      </w:r>
      <w:r w:rsidRPr="0F90D236">
        <w:rPr>
          <w:rFonts w:eastAsia="Calibri"/>
          <w:noProof/>
          <w:snapToGrid/>
        </w:rPr>
        <w:t>).</w:t>
      </w:r>
    </w:p>
    <w:p w14:paraId="7B83B800" w14:textId="0585FBAE" w:rsidR="00DB255E" w:rsidRPr="002012DE" w:rsidRDefault="0783902A" w:rsidP="00AD46B1">
      <w:pPr>
        <w:numPr>
          <w:ilvl w:val="0"/>
          <w:numId w:val="32"/>
        </w:numPr>
        <w:spacing w:before="120" w:after="0"/>
      </w:pPr>
      <w:r>
        <w:t xml:space="preserve">Evidence on the fulfilment (including restructuring etc.) of obligations related to social security contributions (obtained after the date of </w:t>
      </w:r>
      <w:r w:rsidR="00D475D7">
        <w:t>c</w:t>
      </w:r>
      <w:r>
        <w:t xml:space="preserve">ontracting </w:t>
      </w:r>
      <w:r w:rsidR="00D475D7">
        <w:t>a</w:t>
      </w:r>
      <w:r>
        <w:t>uthority’s request) taken from the relevant social security authorities for the lead applicant and each co-applicant</w:t>
      </w:r>
      <w:r w:rsidR="00594A5E" w:rsidRPr="00594A5E">
        <w:t xml:space="preserve"> </w:t>
      </w:r>
      <w:r w:rsidR="00594A5E">
        <w:t>and each affiliated entity (if any)</w:t>
      </w:r>
      <w:r>
        <w:t>. If the lead applicant and/or the co-applicant(s)</w:t>
      </w:r>
      <w:r w:rsidR="00594A5E">
        <w:t xml:space="preserve"> and/or the affiliated entity(</w:t>
      </w:r>
      <w:proofErr w:type="spellStart"/>
      <w:r w:rsidR="00594A5E">
        <w:t>ies</w:t>
      </w:r>
      <w:proofErr w:type="spellEnd"/>
      <w:r w:rsidR="00594A5E">
        <w:t>) (if any)</w:t>
      </w:r>
      <w:r>
        <w:t xml:space="preserve"> are exempted from social security contributions, documentary proof regarding the status should be provided.</w:t>
      </w:r>
    </w:p>
    <w:p w14:paraId="6B5CAC2A" w14:textId="3EA3B84D" w:rsidR="00DB255E" w:rsidRPr="002012DE" w:rsidRDefault="0783902A" w:rsidP="00AD46B1">
      <w:pPr>
        <w:numPr>
          <w:ilvl w:val="0"/>
          <w:numId w:val="32"/>
        </w:numPr>
        <w:spacing w:before="120" w:after="0"/>
      </w:pPr>
      <w:r>
        <w:t xml:space="preserve">Evidence on the fulfilment (including restructuring etc.) of fiscal/tax obligations (obtained after the date of </w:t>
      </w:r>
      <w:r w:rsidR="00D475D7">
        <w:t>c</w:t>
      </w:r>
      <w:r>
        <w:t xml:space="preserve">ontracting </w:t>
      </w:r>
      <w:r w:rsidR="00D475D7">
        <w:t>a</w:t>
      </w:r>
      <w:r>
        <w:t>uthority’s request) taken from the relevant tax authorities for the lead applicant and each co-applicant</w:t>
      </w:r>
      <w:r w:rsidR="00594A5E" w:rsidRPr="00594A5E">
        <w:t xml:space="preserve"> </w:t>
      </w:r>
      <w:r w:rsidR="00594A5E">
        <w:t>and each affiliated entity (if any)</w:t>
      </w:r>
      <w:r>
        <w:t>. If the lead applicant and/or the co-applicant(s)</w:t>
      </w:r>
      <w:r w:rsidR="00594A5E" w:rsidRPr="00594A5E">
        <w:t xml:space="preserve"> </w:t>
      </w:r>
      <w:r w:rsidR="00594A5E">
        <w:t>and/or the affiliated entity(</w:t>
      </w:r>
      <w:proofErr w:type="spellStart"/>
      <w:r w:rsidR="00594A5E">
        <w:t>ies</w:t>
      </w:r>
      <w:proofErr w:type="spellEnd"/>
      <w:r w:rsidR="00594A5E">
        <w:t>) (if any)</w:t>
      </w:r>
      <w:r>
        <w:t xml:space="preserve"> are tax exempted, official documentary proof regarding of the status should be provided.</w:t>
      </w:r>
    </w:p>
    <w:p w14:paraId="4C1C7E3A" w14:textId="764C9F16" w:rsidR="00DB255E" w:rsidRPr="002012DE" w:rsidRDefault="0783902A" w:rsidP="00AD46B1">
      <w:pPr>
        <w:numPr>
          <w:ilvl w:val="0"/>
          <w:numId w:val="32"/>
        </w:numPr>
        <w:spacing w:before="120" w:after="0"/>
      </w:pPr>
      <w:r>
        <w:t xml:space="preserve">Authorization or other licenses are necessary for the implementation of the project, if required by the Law. </w:t>
      </w:r>
    </w:p>
    <w:p w14:paraId="4E007198" w14:textId="6579CCC0" w:rsidR="00DB255E" w:rsidRDefault="00DB255E" w:rsidP="00DB255E">
      <w:pPr>
        <w:numPr>
          <w:ilvl w:val="0"/>
          <w:numId w:val="32"/>
        </w:numPr>
        <w:spacing w:before="120" w:after="0"/>
      </w:pPr>
      <w:r>
        <w:t>Declaration on honour: t</w:t>
      </w:r>
      <w:r w:rsidRPr="003660DB">
        <w:t>he lead applicant as well as all co-applicants</w:t>
      </w:r>
      <w:r w:rsidR="00594A5E" w:rsidRPr="00594A5E">
        <w:t xml:space="preserve"> </w:t>
      </w:r>
      <w:r w:rsidR="00594A5E" w:rsidRPr="003660DB">
        <w:t>and affiliated entities</w:t>
      </w:r>
      <w:r w:rsidRPr="003660DB">
        <w:t xml:space="preserve"> shall fill </w:t>
      </w:r>
      <w:r>
        <w:t xml:space="preserve">in </w:t>
      </w:r>
      <w:r w:rsidRPr="003660DB">
        <w:t>and sign the declaration on honour certifying that they are not in one of the exclusion situations (see Section 2.6.10.1 of the PRAG)</w:t>
      </w:r>
      <w:r>
        <w:t xml:space="preserve"> where the amount of the grant exceeds EUR 15 000</w:t>
      </w:r>
      <w:r w:rsidRPr="0783902A">
        <w:t>.</w:t>
      </w:r>
      <w:r>
        <w:t xml:space="preserve"> The declaration on honour</w:t>
      </w:r>
      <w:r w:rsidRPr="00007BEE">
        <w:t xml:space="preserve"> shall be dated and signed, either by hand or by applying a qualified electronic signature</w:t>
      </w:r>
      <w:r>
        <w:t xml:space="preserve"> (QES)</w:t>
      </w:r>
      <w:r>
        <w:rPr>
          <w:rStyle w:val="FootnoteReference"/>
        </w:rPr>
        <w:footnoteReference w:id="22"/>
      </w:r>
      <w:r w:rsidRPr="00007BEE">
        <w:t xml:space="preserve"> by an authorised representative of the signatory. </w:t>
      </w:r>
    </w:p>
    <w:p w14:paraId="606ADF82" w14:textId="76FBBB57" w:rsidR="00DB255E" w:rsidRPr="002012DE" w:rsidRDefault="00DB255E" w:rsidP="00AD46B1">
      <w:pPr>
        <w:numPr>
          <w:ilvl w:val="0"/>
          <w:numId w:val="32"/>
        </w:numPr>
        <w:spacing w:before="120" w:after="0"/>
      </w:pPr>
      <w:r>
        <w:t>Self-evaluation questionnaire on SEA-H: the lead applicant as well as all co-applicants</w:t>
      </w:r>
      <w:r w:rsidR="00594A5E" w:rsidRPr="00594A5E">
        <w:t xml:space="preserve"> </w:t>
      </w:r>
      <w:r w:rsidR="00594A5E">
        <w:t>and affiliated entities</w:t>
      </w:r>
      <w:r>
        <w:t xml:space="preserve"> shall fill in the self-evaluation questionnaire assessing the organisation’s internal policy and procedure against sexual exploitation, abuse and harassment (SEA-H) (Annex L) where the amount </w:t>
      </w:r>
      <w:r w:rsidRPr="002012DE">
        <w:t>of grant exceeds EUR 60 000 (see Section 2.5.6 of the PRAG)</w:t>
      </w:r>
      <w:r w:rsidRPr="002012DE">
        <w:rPr>
          <w:rStyle w:val="FootnoteReference"/>
        </w:rPr>
        <w:footnoteReference w:id="23"/>
      </w:r>
      <w:r w:rsidRPr="0783902A">
        <w:t xml:space="preserve">. </w:t>
      </w:r>
    </w:p>
    <w:p w14:paraId="3CD2E81D" w14:textId="77777777" w:rsidR="004820EC" w:rsidRPr="004820EC" w:rsidRDefault="004820EC" w:rsidP="004820EC">
      <w:pPr>
        <w:spacing w:before="120" w:after="0"/>
        <w:rPr>
          <w:snapToGrid/>
          <w:lang w:eastAsia="en-GB"/>
        </w:rPr>
      </w:pPr>
      <w:r w:rsidRPr="004820EC">
        <w:rPr>
          <w:snapToGrid/>
          <w:lang w:eastAsia="en-GB"/>
        </w:rPr>
        <w:t xml:space="preserve">Where these documents are in an official language of the European Union other than English, it is </w:t>
      </w:r>
      <w:r w:rsidRPr="004820EC">
        <w:rPr>
          <w:b/>
          <w:snapToGrid/>
          <w:lang w:eastAsia="en-GB"/>
        </w:rPr>
        <w:t>strongly recommended</w:t>
      </w:r>
      <w:r w:rsidRPr="004820EC">
        <w:rPr>
          <w:snapToGrid/>
          <w:lang w:eastAsia="en-GB"/>
        </w:rPr>
        <w:t>, in order to facilitate the evaluation, to provide a translation of the relevant parts of the documents, proving the lead applicant's and, where applicable, co-applicants' and affiliated entity(</w:t>
      </w:r>
      <w:proofErr w:type="spellStart"/>
      <w:r w:rsidRPr="004820EC">
        <w:rPr>
          <w:snapToGrid/>
          <w:lang w:eastAsia="en-GB"/>
        </w:rPr>
        <w:t>ies</w:t>
      </w:r>
      <w:proofErr w:type="spellEnd"/>
      <w:r w:rsidRPr="004820EC">
        <w:rPr>
          <w:snapToGrid/>
          <w:lang w:eastAsia="en-GB"/>
        </w:rPr>
        <w:t>)' eligibility, into English.</w:t>
      </w:r>
    </w:p>
    <w:p w14:paraId="3BEED639" w14:textId="3A9A927A" w:rsidR="005065B1" w:rsidRDefault="005065B1" w:rsidP="005065B1">
      <w:pPr>
        <w:spacing w:before="120" w:after="0"/>
      </w:pPr>
      <w:r>
        <w:t>After verifying the supporting documents, the evaluation committee will make a final recommendation to the contracting authority, which will decide on the award of grants.</w:t>
      </w:r>
    </w:p>
    <w:p w14:paraId="3F95DCC7" w14:textId="48703659" w:rsidR="005065B1" w:rsidRPr="00807DAF" w:rsidRDefault="005065B1" w:rsidP="00877BCA">
      <w:pPr>
        <w:spacing w:before="120" w:after="0"/>
        <w:ind w:left="567" w:hanging="567"/>
        <w:rPr>
          <w:szCs w:val="22"/>
        </w:rPr>
      </w:pPr>
      <w:r>
        <w:t>NB:</w:t>
      </w:r>
      <w:r>
        <w:tab/>
        <w:t>In the eventuality that the contracting authority is not satisfied with the strength, solidity, and guarantee offered by the structural link between one of the applicants and its affiliated entity, it can require the submission of the missing documents allowing for its conversion into co-applicant. If all the missing documents for co-applicants are submitted, and provided all necessary eligibility criteria are fulfilled, the above mentioned entity becomes a co-applicant for all purposes. The lead applicant has to submit the application form revised accordingly.</w:t>
      </w:r>
    </w:p>
    <w:p w14:paraId="062E1E78" w14:textId="3955B343" w:rsidR="009348D1" w:rsidRPr="00807DAF" w:rsidRDefault="0F90D236" w:rsidP="00B95230">
      <w:pPr>
        <w:pStyle w:val="Guidelines2"/>
        <w:numPr>
          <w:ilvl w:val="1"/>
          <w:numId w:val="68"/>
        </w:numPr>
      </w:pPr>
      <w:bookmarkStart w:id="66" w:name="_Toc145057282"/>
      <w:r>
        <w:lastRenderedPageBreak/>
        <w:t>Notification of the Contracting Authority’s decision</w:t>
      </w:r>
      <w:bookmarkEnd w:id="66"/>
    </w:p>
    <w:p w14:paraId="32539093" w14:textId="4557B5D0" w:rsidR="00A57627" w:rsidRPr="00807DAF" w:rsidRDefault="0F90D236" w:rsidP="00196113">
      <w:pPr>
        <w:pStyle w:val="Guidelines3"/>
        <w:numPr>
          <w:ilvl w:val="2"/>
          <w:numId w:val="68"/>
        </w:numPr>
        <w:outlineLvl w:val="2"/>
      </w:pPr>
      <w:bookmarkStart w:id="67" w:name="_Toc145057283"/>
      <w:r>
        <w:t>Content of the decision</w:t>
      </w:r>
      <w:bookmarkEnd w:id="67"/>
    </w:p>
    <w:p w14:paraId="4ADE2CF8" w14:textId="66965998" w:rsidR="00AA4FE0" w:rsidRPr="00807DAF" w:rsidRDefault="008A7A99" w:rsidP="004F6CE9">
      <w:pPr>
        <w:spacing w:before="120" w:after="0"/>
      </w:pPr>
      <w:r w:rsidRPr="00807DAF">
        <w:t xml:space="preserve">The </w:t>
      </w:r>
      <w:r w:rsidR="00504963">
        <w:t>lead a</w:t>
      </w:r>
      <w:r w:rsidR="00AA4FE0" w:rsidRPr="00807DAF">
        <w:t>pplicant</w:t>
      </w:r>
      <w:r w:rsidR="0067474F" w:rsidRPr="00807DAF">
        <w:t>s</w:t>
      </w:r>
      <w:r w:rsidR="00AA4FE0" w:rsidRPr="00807DAF">
        <w:t xml:space="preserve"> will be informed in </w:t>
      </w:r>
      <w:r w:rsidR="00AA4FE0" w:rsidRPr="000A257B">
        <w:t>writing</w:t>
      </w:r>
      <w:r w:rsidR="00C117D1" w:rsidRPr="000A257B">
        <w:t xml:space="preserve"> (via e-mail</w:t>
      </w:r>
      <w:r w:rsidR="004F6CE9" w:rsidRPr="000A257B">
        <w:rPr>
          <w:rStyle w:val="FootnoteReference"/>
        </w:rPr>
        <w:footnoteReference w:id="24"/>
      </w:r>
      <w:r w:rsidR="00C117D1" w:rsidRPr="000A257B">
        <w:t>)</w:t>
      </w:r>
      <w:r w:rsidR="00AA4FE0" w:rsidRPr="00807DAF">
        <w:t xml:space="preserve"> of the </w:t>
      </w:r>
      <w:r w:rsidR="00A33874">
        <w:t>c</w:t>
      </w:r>
      <w:r w:rsidR="00AA4FE0" w:rsidRPr="00807DAF">
        <w:t xml:space="preserve">ontracting </w:t>
      </w:r>
      <w:r w:rsidR="00A33874">
        <w:t>a</w:t>
      </w:r>
      <w:r w:rsidR="00AA4FE0" w:rsidRPr="00807DAF">
        <w:t>uthority’s decision concerning their application</w:t>
      </w:r>
      <w:r w:rsidR="000D5F55" w:rsidRPr="00807DAF">
        <w:t xml:space="preserve"> and</w:t>
      </w:r>
      <w:r w:rsidR="00E9669E" w:rsidRPr="00807DAF">
        <w:t>, i</w:t>
      </w:r>
      <w:r w:rsidR="008B3646" w:rsidRPr="00807DAF">
        <w:t>f</w:t>
      </w:r>
      <w:r w:rsidR="00E9669E" w:rsidRPr="00807DAF">
        <w:t xml:space="preserve"> reject</w:t>
      </w:r>
      <w:r w:rsidR="008B3646" w:rsidRPr="00807DAF">
        <w:t>ed</w:t>
      </w:r>
      <w:r w:rsidR="00E9669E" w:rsidRPr="00807DAF">
        <w:t>,</w:t>
      </w:r>
      <w:r w:rsidR="000D5F55" w:rsidRPr="00807DAF">
        <w:t xml:space="preserve"> the reasons for the </w:t>
      </w:r>
      <w:r w:rsidR="00E9669E" w:rsidRPr="00807DAF">
        <w:t xml:space="preserve">negative </w:t>
      </w:r>
      <w:r w:rsidR="000D5F55" w:rsidRPr="00807DAF">
        <w:t>decision</w:t>
      </w:r>
      <w:r w:rsidR="00AA4FE0" w:rsidRPr="00807DAF">
        <w:t>.</w:t>
      </w:r>
      <w:r w:rsidR="0007408E" w:rsidRPr="00807DAF">
        <w:t xml:space="preserve"> </w:t>
      </w:r>
      <w:r w:rsidR="001B077F">
        <w:t>Please note that the lead applicant is</w:t>
      </w:r>
      <w:r w:rsidR="001B077F" w:rsidRPr="001B077F">
        <w:t xml:space="preserve"> the</w:t>
      </w:r>
      <w:r w:rsidR="001B077F">
        <w:t xml:space="preserve"> </w:t>
      </w:r>
      <w:r w:rsidR="001B077F" w:rsidRPr="001B077F">
        <w:t xml:space="preserve">intermediary for all communications </w:t>
      </w:r>
      <w:r w:rsidR="001B077F">
        <w:t>between applicants</w:t>
      </w:r>
      <w:r w:rsidR="001B077F" w:rsidRPr="001B077F">
        <w:t xml:space="preserve"> and the contracting authority</w:t>
      </w:r>
      <w:r w:rsidR="003A20CC">
        <w:t xml:space="preserve"> during the procedure. </w:t>
      </w:r>
    </w:p>
    <w:p w14:paraId="48701091" w14:textId="281E4EC1" w:rsidR="000D5F55" w:rsidRDefault="0F90D236" w:rsidP="004F6CE9">
      <w:pPr>
        <w:spacing w:before="120" w:after="0"/>
      </w:pPr>
      <w:r>
        <w:t xml:space="preserve">An applicant believing that it has been harmed by an error or irregularity during the award process may lodge a complaint. See Section 2.12 of the practical guide. </w:t>
      </w:r>
    </w:p>
    <w:p w14:paraId="2518C641" w14:textId="1EA6BF2E" w:rsidR="00F55AF3" w:rsidRPr="00AD64B5" w:rsidRDefault="0F90D236" w:rsidP="004F6CE9">
      <w:pPr>
        <w:spacing w:before="120" w:after="0"/>
        <w:rPr>
          <w:szCs w:val="22"/>
        </w:rPr>
      </w:pPr>
      <w:r>
        <w:t xml:space="preserve">Applicants and, if they are legal entities, persons who have powers of representation, decision-making or control over them, are informed that, should they be in one of the situations of early detection or exclusion, their personal details (name, given name if natural person, address, legal form and name and given name of the persons with powers of representation, decision-making or control, if legal person) may be registered in the early detection and exclusion system, and communicated to the persons and entities concerned in relation to the award or the execution of a grant contract. For more information, you may consult the privacy statement available on </w:t>
      </w:r>
      <w:hyperlink r:id="rId43">
        <w:r w:rsidRPr="0F90D236">
          <w:rPr>
            <w:rStyle w:val="Hyperlink"/>
          </w:rPr>
          <w:t>http://ec.europa.eu/budget/explained/management/protecting/protect_en.cfm</w:t>
        </w:r>
      </w:hyperlink>
      <w:r>
        <w:t xml:space="preserve"> </w:t>
      </w:r>
    </w:p>
    <w:p w14:paraId="70982DBC" w14:textId="4C1566A6" w:rsidR="0097715A" w:rsidRPr="00807DAF" w:rsidRDefault="0F90D236" w:rsidP="00196113">
      <w:pPr>
        <w:pStyle w:val="Guidelines3"/>
        <w:numPr>
          <w:ilvl w:val="2"/>
          <w:numId w:val="68"/>
        </w:numPr>
        <w:outlineLvl w:val="2"/>
      </w:pPr>
      <w:bookmarkStart w:id="68" w:name="_Toc145057284"/>
      <w:r>
        <w:t>Indicative timetable</w:t>
      </w:r>
      <w:bookmarkEnd w:id="68"/>
      <w:r>
        <w:t xml:space="preserve"> </w:t>
      </w:r>
    </w:p>
    <w:p w14:paraId="191F6E80" w14:textId="77777777" w:rsidR="000E38CD" w:rsidRPr="00807DAF" w:rsidRDefault="000E38CD" w:rsidP="004F6CE9">
      <w:pPr>
        <w:spacing w:after="0"/>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2552"/>
        <w:gridCol w:w="2551"/>
      </w:tblGrid>
      <w:tr w:rsidR="0013435B" w:rsidRPr="00807DAF" w14:paraId="4EE485EA" w14:textId="77777777" w:rsidTr="00877BCA">
        <w:tc>
          <w:tcPr>
            <w:tcW w:w="4678" w:type="dxa"/>
            <w:tcBorders>
              <w:top w:val="single" w:sz="4" w:space="0" w:color="auto"/>
              <w:left w:val="single" w:sz="4" w:space="0" w:color="auto"/>
              <w:bottom w:val="single" w:sz="4" w:space="0" w:color="auto"/>
              <w:right w:val="single" w:sz="4" w:space="0" w:color="auto"/>
            </w:tcBorders>
          </w:tcPr>
          <w:p w14:paraId="65DED8DF" w14:textId="77777777" w:rsidR="0013435B" w:rsidRPr="00807DAF" w:rsidRDefault="0013435B" w:rsidP="004F6CE9">
            <w:pPr>
              <w:spacing w:before="80" w:after="80"/>
              <w:rPr>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32E1F1" w14:textId="77777777" w:rsidR="0013435B" w:rsidRPr="00807DAF" w:rsidRDefault="0F90D236" w:rsidP="0F90D236">
            <w:pPr>
              <w:spacing w:before="80" w:after="80"/>
              <w:jc w:val="center"/>
              <w:rPr>
                <w:b/>
                <w:bCs/>
              </w:rPr>
            </w:pPr>
            <w:r w:rsidRPr="0F90D236">
              <w:rPr>
                <w:b/>
                <w:bCs/>
              </w:rPr>
              <w:t>DATE</w:t>
            </w: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12A8DB" w14:textId="77777777" w:rsidR="0013435B" w:rsidRPr="00807DAF" w:rsidRDefault="0F90D236" w:rsidP="0F90D236">
            <w:pPr>
              <w:spacing w:before="80" w:after="80"/>
              <w:jc w:val="center"/>
              <w:rPr>
                <w:b/>
                <w:bCs/>
              </w:rPr>
            </w:pPr>
            <w:r w:rsidRPr="0F90D236">
              <w:rPr>
                <w:b/>
                <w:bCs/>
              </w:rPr>
              <w:t>TIME</w:t>
            </w:r>
          </w:p>
        </w:tc>
      </w:tr>
      <w:tr w:rsidR="003D5758" w:rsidRPr="00807DAF" w14:paraId="059A2612" w14:textId="77777777" w:rsidTr="00877BCA">
        <w:tc>
          <w:tcPr>
            <w:tcW w:w="4678" w:type="dxa"/>
            <w:tcBorders>
              <w:top w:val="single" w:sz="4" w:space="0" w:color="auto"/>
            </w:tcBorders>
            <w:shd w:val="clear" w:color="auto" w:fill="D9D9D9" w:themeFill="background1" w:themeFillShade="D9"/>
          </w:tcPr>
          <w:p w14:paraId="2FF2503B" w14:textId="77777777" w:rsidR="003D5758" w:rsidRPr="00807DAF" w:rsidRDefault="003D5758" w:rsidP="003D5758">
            <w:pPr>
              <w:spacing w:before="80" w:after="80"/>
              <w:ind w:left="318" w:hanging="318"/>
              <w:jc w:val="left"/>
              <w:rPr>
                <w:b/>
                <w:bCs/>
              </w:rPr>
            </w:pPr>
            <w:r w:rsidRPr="0F90D236">
              <w:rPr>
                <w:b/>
                <w:bCs/>
              </w:rPr>
              <w:t>1.</w:t>
            </w:r>
            <w:r>
              <w:rPr>
                <w:b/>
                <w:szCs w:val="22"/>
              </w:rPr>
              <w:tab/>
            </w:r>
            <w:r w:rsidRPr="0F90D236">
              <w:rPr>
                <w:b/>
                <w:bCs/>
              </w:rPr>
              <w:t>Information meeting (if any)</w:t>
            </w:r>
          </w:p>
        </w:tc>
        <w:tc>
          <w:tcPr>
            <w:tcW w:w="2552" w:type="dxa"/>
            <w:tcBorders>
              <w:top w:val="single" w:sz="4" w:space="0" w:color="auto"/>
            </w:tcBorders>
          </w:tcPr>
          <w:p w14:paraId="7DFCA253" w14:textId="1D3C3B7B" w:rsidR="003D5758" w:rsidRPr="00807DAF" w:rsidRDefault="003D5758" w:rsidP="003D5758">
            <w:pPr>
              <w:spacing w:before="80" w:after="80"/>
              <w:jc w:val="center"/>
              <w:rPr>
                <w:szCs w:val="22"/>
              </w:rPr>
            </w:pPr>
            <w:r>
              <w:rPr>
                <w:lang w:val="en-US"/>
              </w:rPr>
              <w:t>to be announced*</w:t>
            </w:r>
          </w:p>
        </w:tc>
        <w:tc>
          <w:tcPr>
            <w:tcW w:w="2551" w:type="dxa"/>
            <w:tcBorders>
              <w:top w:val="single" w:sz="4" w:space="0" w:color="auto"/>
            </w:tcBorders>
          </w:tcPr>
          <w:p w14:paraId="5FEC4183" w14:textId="0C209548" w:rsidR="003D5758" w:rsidRPr="00807DAF" w:rsidRDefault="003D5758" w:rsidP="003D5758">
            <w:pPr>
              <w:spacing w:before="80" w:after="80"/>
              <w:jc w:val="center"/>
              <w:rPr>
                <w:szCs w:val="22"/>
              </w:rPr>
            </w:pPr>
            <w:r>
              <w:t>To be announced*</w:t>
            </w:r>
          </w:p>
        </w:tc>
      </w:tr>
      <w:tr w:rsidR="003D5758" w:rsidRPr="00807DAF" w14:paraId="7E0F9FA8" w14:textId="77777777" w:rsidTr="00877BCA">
        <w:tc>
          <w:tcPr>
            <w:tcW w:w="4678" w:type="dxa"/>
            <w:shd w:val="clear" w:color="auto" w:fill="D9D9D9" w:themeFill="background1" w:themeFillShade="D9"/>
          </w:tcPr>
          <w:p w14:paraId="05B32E19" w14:textId="77777777" w:rsidR="003D5758" w:rsidRPr="00807DAF" w:rsidRDefault="003D5758" w:rsidP="003D5758">
            <w:pPr>
              <w:spacing w:before="80" w:after="80"/>
              <w:ind w:left="318" w:hanging="284"/>
              <w:jc w:val="left"/>
              <w:rPr>
                <w:b/>
                <w:bCs/>
              </w:rPr>
            </w:pPr>
            <w:r w:rsidRPr="0F90D236">
              <w:rPr>
                <w:b/>
                <w:bCs/>
              </w:rPr>
              <w:t>2.</w:t>
            </w:r>
            <w:r>
              <w:rPr>
                <w:b/>
                <w:szCs w:val="22"/>
              </w:rPr>
              <w:tab/>
            </w:r>
            <w:r w:rsidRPr="0F90D236">
              <w:rPr>
                <w:b/>
                <w:bCs/>
              </w:rPr>
              <w:t>Deadline for requesting any clarifications from the contracting authority</w:t>
            </w:r>
          </w:p>
        </w:tc>
        <w:tc>
          <w:tcPr>
            <w:tcW w:w="2552" w:type="dxa"/>
          </w:tcPr>
          <w:p w14:paraId="45FC3957" w14:textId="32324BBF" w:rsidR="003D5758" w:rsidRPr="00807DAF" w:rsidRDefault="000949CB" w:rsidP="003D5758">
            <w:pPr>
              <w:spacing w:before="80" w:after="80"/>
              <w:jc w:val="center"/>
              <w:rPr>
                <w:szCs w:val="22"/>
              </w:rPr>
            </w:pPr>
            <w:r>
              <w:rPr>
                <w14:ligatures w14:val="standardContextual"/>
              </w:rPr>
              <w:t>26</w:t>
            </w:r>
            <w:r w:rsidR="003D5758">
              <w:rPr>
                <w14:ligatures w14:val="standardContextual"/>
              </w:rPr>
              <w:t xml:space="preserve"> March 2024</w:t>
            </w:r>
          </w:p>
        </w:tc>
        <w:tc>
          <w:tcPr>
            <w:tcW w:w="2551" w:type="dxa"/>
          </w:tcPr>
          <w:p w14:paraId="7830AAA6" w14:textId="3A64C114" w:rsidR="003D5758" w:rsidRPr="00807DAF" w:rsidRDefault="003D5758" w:rsidP="003D5758">
            <w:pPr>
              <w:spacing w:before="80" w:after="80"/>
              <w:jc w:val="center"/>
              <w:rPr>
                <w:szCs w:val="22"/>
              </w:rPr>
            </w:pPr>
            <w:r>
              <w:t>17:00</w:t>
            </w:r>
          </w:p>
        </w:tc>
      </w:tr>
      <w:tr w:rsidR="003D5758" w:rsidRPr="00807DAF" w14:paraId="0C6D0AE8" w14:textId="77777777" w:rsidTr="00877BCA">
        <w:tc>
          <w:tcPr>
            <w:tcW w:w="4678" w:type="dxa"/>
            <w:shd w:val="clear" w:color="auto" w:fill="D9D9D9" w:themeFill="background1" w:themeFillShade="D9"/>
          </w:tcPr>
          <w:p w14:paraId="386CEBE3" w14:textId="77777777" w:rsidR="003D5758" w:rsidRPr="00807DAF" w:rsidRDefault="003D5758" w:rsidP="003D5758">
            <w:pPr>
              <w:spacing w:before="80" w:after="80"/>
              <w:ind w:left="318" w:hanging="284"/>
              <w:jc w:val="left"/>
              <w:rPr>
                <w:b/>
                <w:bCs/>
              </w:rPr>
            </w:pPr>
            <w:r w:rsidRPr="0F90D236">
              <w:rPr>
                <w:b/>
                <w:bCs/>
              </w:rPr>
              <w:t>3.</w:t>
            </w:r>
            <w:r>
              <w:rPr>
                <w:b/>
                <w:szCs w:val="22"/>
              </w:rPr>
              <w:tab/>
            </w:r>
            <w:r w:rsidRPr="0F90D236">
              <w:rPr>
                <w:b/>
                <w:bCs/>
              </w:rPr>
              <w:t>Last date on which clarifications are issued by the contracting authority</w:t>
            </w:r>
          </w:p>
        </w:tc>
        <w:tc>
          <w:tcPr>
            <w:tcW w:w="2552" w:type="dxa"/>
          </w:tcPr>
          <w:p w14:paraId="45A2470B" w14:textId="1C23AED2" w:rsidR="003D5758" w:rsidRPr="00807DAF" w:rsidRDefault="000949CB" w:rsidP="003D5758">
            <w:pPr>
              <w:spacing w:before="80" w:after="80"/>
              <w:jc w:val="center"/>
              <w:rPr>
                <w:szCs w:val="22"/>
              </w:rPr>
            </w:pPr>
            <w:r>
              <w:rPr>
                <w14:ligatures w14:val="standardContextual"/>
              </w:rPr>
              <w:t>5 April</w:t>
            </w:r>
            <w:r w:rsidR="003D5758">
              <w:rPr>
                <w14:ligatures w14:val="standardContextual"/>
              </w:rPr>
              <w:t xml:space="preserve"> 2024</w:t>
            </w:r>
          </w:p>
        </w:tc>
        <w:tc>
          <w:tcPr>
            <w:tcW w:w="2551" w:type="dxa"/>
          </w:tcPr>
          <w:p w14:paraId="7D8C5A31" w14:textId="66114C3A" w:rsidR="003D5758" w:rsidRPr="00807DAF" w:rsidRDefault="003D5758" w:rsidP="003D5758">
            <w:pPr>
              <w:spacing w:before="80" w:after="80"/>
              <w:jc w:val="center"/>
              <w:rPr>
                <w:szCs w:val="22"/>
              </w:rPr>
            </w:pPr>
            <w:r>
              <w:t>N/A</w:t>
            </w:r>
          </w:p>
        </w:tc>
      </w:tr>
      <w:tr w:rsidR="003D5758" w:rsidRPr="00807DAF" w14:paraId="4FD64925" w14:textId="77777777" w:rsidTr="00877BCA">
        <w:tc>
          <w:tcPr>
            <w:tcW w:w="4678" w:type="dxa"/>
            <w:shd w:val="clear" w:color="auto" w:fill="D9D9D9" w:themeFill="background1" w:themeFillShade="D9"/>
          </w:tcPr>
          <w:p w14:paraId="4E48188F" w14:textId="66EDA190" w:rsidR="003D5758" w:rsidRPr="00807DAF" w:rsidRDefault="003D5758" w:rsidP="003D5758">
            <w:pPr>
              <w:spacing w:before="80" w:after="80"/>
              <w:ind w:left="318" w:hanging="284"/>
              <w:jc w:val="left"/>
              <w:rPr>
                <w:b/>
                <w:bCs/>
              </w:rPr>
            </w:pPr>
            <w:r w:rsidRPr="0F90D236">
              <w:rPr>
                <w:b/>
                <w:bCs/>
              </w:rPr>
              <w:t>4.</w:t>
            </w:r>
            <w:r>
              <w:rPr>
                <w:b/>
                <w:szCs w:val="22"/>
              </w:rPr>
              <w:tab/>
            </w:r>
            <w:r w:rsidRPr="0F90D236">
              <w:rPr>
                <w:b/>
                <w:bCs/>
              </w:rPr>
              <w:t>Deadline for submission of concept notes</w:t>
            </w:r>
          </w:p>
        </w:tc>
        <w:tc>
          <w:tcPr>
            <w:tcW w:w="2552" w:type="dxa"/>
          </w:tcPr>
          <w:p w14:paraId="3EE2FB38" w14:textId="7E4DC25A" w:rsidR="003D5758" w:rsidRPr="00F027AC" w:rsidRDefault="000949CB" w:rsidP="003D5758">
            <w:pPr>
              <w:spacing w:before="80" w:after="80"/>
              <w:jc w:val="center"/>
              <w:rPr>
                <w:szCs w:val="22"/>
              </w:rPr>
            </w:pPr>
            <w:r>
              <w:rPr>
                <w:b/>
                <w:bCs/>
                <w14:ligatures w14:val="standardContextual"/>
              </w:rPr>
              <w:t>16</w:t>
            </w:r>
            <w:r w:rsidR="003D5758">
              <w:rPr>
                <w:b/>
                <w:bCs/>
                <w14:ligatures w14:val="standardContextual"/>
              </w:rPr>
              <w:t xml:space="preserve"> April 2024</w:t>
            </w:r>
          </w:p>
        </w:tc>
        <w:tc>
          <w:tcPr>
            <w:tcW w:w="2551" w:type="dxa"/>
          </w:tcPr>
          <w:p w14:paraId="24CC61F2" w14:textId="4454661B" w:rsidR="003D5758" w:rsidRPr="00807DAF" w:rsidRDefault="003D5758" w:rsidP="003D5758">
            <w:pPr>
              <w:spacing w:before="80" w:after="80"/>
              <w:jc w:val="center"/>
              <w:rPr>
                <w:szCs w:val="22"/>
              </w:rPr>
            </w:pPr>
            <w:r w:rsidRPr="0F90D236">
              <w:rPr>
                <w:b/>
                <w:bCs/>
              </w:rPr>
              <w:t>17:00</w:t>
            </w:r>
          </w:p>
        </w:tc>
      </w:tr>
      <w:tr w:rsidR="003D5758" w:rsidRPr="00807DAF" w14:paraId="47D2598D" w14:textId="77777777" w:rsidTr="00877BCA">
        <w:tc>
          <w:tcPr>
            <w:tcW w:w="4678" w:type="dxa"/>
            <w:shd w:val="clear" w:color="auto" w:fill="D9D9D9" w:themeFill="background1" w:themeFillShade="D9"/>
          </w:tcPr>
          <w:p w14:paraId="6AC0EE2D" w14:textId="1CA4EA82" w:rsidR="003D5758" w:rsidRPr="00807DAF" w:rsidRDefault="003D5758" w:rsidP="003D5758">
            <w:pPr>
              <w:spacing w:before="80" w:after="80"/>
              <w:ind w:left="318" w:hanging="284"/>
              <w:jc w:val="left"/>
              <w:rPr>
                <w:b/>
                <w:bCs/>
              </w:rPr>
            </w:pPr>
            <w:r w:rsidRPr="0F90D236">
              <w:rPr>
                <w:b/>
                <w:bCs/>
              </w:rPr>
              <w:t>5.</w:t>
            </w:r>
            <w:r>
              <w:rPr>
                <w:b/>
                <w:szCs w:val="22"/>
              </w:rPr>
              <w:tab/>
            </w:r>
            <w:r w:rsidRPr="0F90D236">
              <w:rPr>
                <w:b/>
                <w:bCs/>
              </w:rPr>
              <w:t>Information to lead applicants on opening, administrative checks and concept note evaluation (Step 1)</w:t>
            </w:r>
          </w:p>
        </w:tc>
        <w:tc>
          <w:tcPr>
            <w:tcW w:w="2552" w:type="dxa"/>
          </w:tcPr>
          <w:p w14:paraId="067E171B" w14:textId="4E7B37ED" w:rsidR="003D5758" w:rsidRPr="00F027AC" w:rsidRDefault="003D5758" w:rsidP="003D5758">
            <w:pPr>
              <w:spacing w:before="80" w:after="80"/>
              <w:jc w:val="center"/>
            </w:pPr>
            <w:r>
              <w:rPr>
                <w14:ligatures w14:val="standardContextual"/>
              </w:rPr>
              <w:t>10 June 2024</w:t>
            </w:r>
          </w:p>
        </w:tc>
        <w:tc>
          <w:tcPr>
            <w:tcW w:w="2551" w:type="dxa"/>
          </w:tcPr>
          <w:p w14:paraId="2E4929B9" w14:textId="0154BEEE" w:rsidR="003D5758" w:rsidRPr="00807DAF" w:rsidRDefault="003D5758" w:rsidP="003D5758">
            <w:pPr>
              <w:spacing w:before="80" w:after="80"/>
              <w:jc w:val="center"/>
              <w:rPr>
                <w:szCs w:val="22"/>
              </w:rPr>
            </w:pPr>
            <w:r>
              <w:t>N/A</w:t>
            </w:r>
          </w:p>
        </w:tc>
      </w:tr>
      <w:tr w:rsidR="003D5758" w:rsidRPr="00807DAF" w14:paraId="0F447D0F" w14:textId="77777777" w:rsidTr="00877BCA">
        <w:tc>
          <w:tcPr>
            <w:tcW w:w="4678" w:type="dxa"/>
            <w:shd w:val="clear" w:color="auto" w:fill="D9D9D9" w:themeFill="background1" w:themeFillShade="D9"/>
          </w:tcPr>
          <w:p w14:paraId="6BC24AAA" w14:textId="65A7560E" w:rsidR="003D5758" w:rsidRPr="00E93605" w:rsidRDefault="003D5758" w:rsidP="003D5758">
            <w:pPr>
              <w:spacing w:before="80" w:after="80"/>
              <w:jc w:val="left"/>
              <w:rPr>
                <w:b/>
                <w:bCs/>
              </w:rPr>
            </w:pPr>
            <w:r w:rsidRPr="0F90D236">
              <w:rPr>
                <w:b/>
                <w:bCs/>
              </w:rPr>
              <w:t>6. Invitations to submit full applications</w:t>
            </w:r>
          </w:p>
        </w:tc>
        <w:tc>
          <w:tcPr>
            <w:tcW w:w="2552" w:type="dxa"/>
          </w:tcPr>
          <w:p w14:paraId="17B750CC" w14:textId="48572774" w:rsidR="003D5758" w:rsidRPr="00F027AC" w:rsidRDefault="003D5758" w:rsidP="003D5758">
            <w:pPr>
              <w:spacing w:before="80" w:after="80"/>
              <w:jc w:val="center"/>
            </w:pPr>
            <w:r>
              <w:rPr>
                <w14:ligatures w14:val="standardContextual"/>
              </w:rPr>
              <w:t>10 June 2024</w:t>
            </w:r>
          </w:p>
        </w:tc>
        <w:tc>
          <w:tcPr>
            <w:tcW w:w="2551" w:type="dxa"/>
          </w:tcPr>
          <w:p w14:paraId="6EA37175" w14:textId="06F84485" w:rsidR="003D5758" w:rsidRPr="00807DAF" w:rsidRDefault="003D5758" w:rsidP="003D5758">
            <w:pPr>
              <w:spacing w:before="80" w:after="80"/>
              <w:jc w:val="center"/>
              <w:rPr>
                <w:szCs w:val="22"/>
              </w:rPr>
            </w:pPr>
            <w:r>
              <w:t>17:00</w:t>
            </w:r>
          </w:p>
        </w:tc>
      </w:tr>
      <w:tr w:rsidR="003D5758" w:rsidRPr="00807DAF" w14:paraId="3A92328D" w14:textId="77777777" w:rsidTr="00877BCA">
        <w:tc>
          <w:tcPr>
            <w:tcW w:w="4678" w:type="dxa"/>
            <w:shd w:val="clear" w:color="auto" w:fill="D9D9D9" w:themeFill="background1" w:themeFillShade="D9"/>
          </w:tcPr>
          <w:p w14:paraId="517E5D20" w14:textId="5F9D563D" w:rsidR="003D5758" w:rsidRPr="00807DAF" w:rsidRDefault="003D5758" w:rsidP="003D5758">
            <w:pPr>
              <w:spacing w:before="80" w:after="80"/>
              <w:jc w:val="left"/>
              <w:rPr>
                <w:b/>
                <w:bCs/>
              </w:rPr>
            </w:pPr>
            <w:r w:rsidRPr="0F90D236">
              <w:rPr>
                <w:b/>
                <w:bCs/>
              </w:rPr>
              <w:t>6. Deadline for submission of full applications</w:t>
            </w:r>
          </w:p>
        </w:tc>
        <w:tc>
          <w:tcPr>
            <w:tcW w:w="2552" w:type="dxa"/>
          </w:tcPr>
          <w:p w14:paraId="77C762B2" w14:textId="31D77DF3" w:rsidR="003D5758" w:rsidRPr="003D5758" w:rsidRDefault="003D5758" w:rsidP="003D5758">
            <w:pPr>
              <w:spacing w:before="80" w:after="80"/>
              <w:jc w:val="center"/>
            </w:pPr>
            <w:r w:rsidRPr="003D5758">
              <w:rPr>
                <w:bCs/>
                <w14:ligatures w14:val="standardContextual"/>
              </w:rPr>
              <w:t>6 August 2024</w:t>
            </w:r>
          </w:p>
        </w:tc>
        <w:tc>
          <w:tcPr>
            <w:tcW w:w="2551" w:type="dxa"/>
          </w:tcPr>
          <w:p w14:paraId="37225135" w14:textId="4DF1A423" w:rsidR="003D5758" w:rsidRPr="00807DAF" w:rsidRDefault="003D5758" w:rsidP="003D5758">
            <w:pPr>
              <w:spacing w:before="80" w:after="80"/>
              <w:jc w:val="center"/>
              <w:rPr>
                <w:szCs w:val="22"/>
              </w:rPr>
            </w:pPr>
            <w:r>
              <w:t>N/A</w:t>
            </w:r>
          </w:p>
        </w:tc>
      </w:tr>
      <w:tr w:rsidR="003D5758" w:rsidRPr="00807DAF" w14:paraId="2AC780FD" w14:textId="77777777" w:rsidTr="00877BCA">
        <w:tc>
          <w:tcPr>
            <w:tcW w:w="4678" w:type="dxa"/>
            <w:shd w:val="clear" w:color="auto" w:fill="D9D9D9" w:themeFill="background1" w:themeFillShade="D9"/>
          </w:tcPr>
          <w:p w14:paraId="15AA0BF7" w14:textId="77777777" w:rsidR="003D5758" w:rsidRPr="00807DAF" w:rsidRDefault="003D5758" w:rsidP="003D5758">
            <w:pPr>
              <w:spacing w:before="80" w:after="80"/>
              <w:ind w:left="318" w:hanging="284"/>
              <w:jc w:val="left"/>
              <w:rPr>
                <w:b/>
                <w:bCs/>
              </w:rPr>
            </w:pPr>
            <w:r w:rsidRPr="0F90D236">
              <w:rPr>
                <w:b/>
                <w:bCs/>
              </w:rPr>
              <w:t>7.</w:t>
            </w:r>
            <w:r>
              <w:rPr>
                <w:b/>
                <w:szCs w:val="22"/>
              </w:rPr>
              <w:tab/>
            </w:r>
            <w:r w:rsidRPr="0F90D236">
              <w:rPr>
                <w:b/>
                <w:bCs/>
              </w:rPr>
              <w:t>Information to lead applicants on the evaluation of the full applications (Step 2)</w:t>
            </w:r>
          </w:p>
        </w:tc>
        <w:tc>
          <w:tcPr>
            <w:tcW w:w="2552" w:type="dxa"/>
          </w:tcPr>
          <w:p w14:paraId="3799B3CF" w14:textId="449836F7" w:rsidR="003D5758" w:rsidRPr="00F027AC" w:rsidRDefault="003D5758" w:rsidP="003D5758">
            <w:pPr>
              <w:spacing w:before="80" w:after="80"/>
              <w:jc w:val="center"/>
            </w:pPr>
            <w:r>
              <w:rPr>
                <w14:ligatures w14:val="standardContextual"/>
              </w:rPr>
              <w:t>30 October 2024</w:t>
            </w:r>
          </w:p>
        </w:tc>
        <w:tc>
          <w:tcPr>
            <w:tcW w:w="2551" w:type="dxa"/>
          </w:tcPr>
          <w:p w14:paraId="1E93E511" w14:textId="14C7D8A0" w:rsidR="003D5758" w:rsidRPr="00807DAF" w:rsidRDefault="003D5758" w:rsidP="003D5758">
            <w:pPr>
              <w:spacing w:before="80" w:after="80"/>
              <w:jc w:val="center"/>
              <w:rPr>
                <w:szCs w:val="22"/>
              </w:rPr>
            </w:pPr>
            <w:r>
              <w:t>N/A</w:t>
            </w:r>
          </w:p>
        </w:tc>
      </w:tr>
      <w:tr w:rsidR="003D5758" w:rsidRPr="00807DAF" w14:paraId="00D1DE7C" w14:textId="77777777" w:rsidTr="00877BCA">
        <w:tc>
          <w:tcPr>
            <w:tcW w:w="4678" w:type="dxa"/>
            <w:shd w:val="clear" w:color="auto" w:fill="D9D9D9" w:themeFill="background1" w:themeFillShade="D9"/>
          </w:tcPr>
          <w:p w14:paraId="42AC2C26" w14:textId="77777777" w:rsidR="003D5758" w:rsidRPr="00807DAF" w:rsidRDefault="003D5758" w:rsidP="003D5758">
            <w:pPr>
              <w:spacing w:before="80" w:after="80"/>
              <w:ind w:left="318" w:hanging="284"/>
              <w:jc w:val="left"/>
              <w:rPr>
                <w:b/>
                <w:bCs/>
              </w:rPr>
            </w:pPr>
            <w:r w:rsidRPr="0F90D236">
              <w:rPr>
                <w:b/>
                <w:bCs/>
              </w:rPr>
              <w:t>8.</w:t>
            </w:r>
            <w:r>
              <w:rPr>
                <w:b/>
                <w:szCs w:val="22"/>
              </w:rPr>
              <w:tab/>
            </w:r>
            <w:r w:rsidRPr="0F90D236">
              <w:rPr>
                <w:b/>
                <w:bCs/>
              </w:rPr>
              <w:t>Notification of award (after the eligibility check) (Step 3)</w:t>
            </w:r>
          </w:p>
        </w:tc>
        <w:tc>
          <w:tcPr>
            <w:tcW w:w="2552" w:type="dxa"/>
          </w:tcPr>
          <w:p w14:paraId="62267728" w14:textId="66AB1603" w:rsidR="003D5758" w:rsidRPr="00F027AC" w:rsidRDefault="003D5758" w:rsidP="003D5758">
            <w:pPr>
              <w:spacing w:before="80" w:after="80"/>
              <w:jc w:val="center"/>
            </w:pPr>
            <w:r>
              <w:rPr>
                <w14:ligatures w14:val="standardContextual"/>
              </w:rPr>
              <w:t>31 December 2024</w:t>
            </w:r>
          </w:p>
        </w:tc>
        <w:tc>
          <w:tcPr>
            <w:tcW w:w="2551" w:type="dxa"/>
          </w:tcPr>
          <w:p w14:paraId="78B63310" w14:textId="6B436519" w:rsidR="003D5758" w:rsidRPr="00807DAF" w:rsidRDefault="003D5758" w:rsidP="003D5758">
            <w:pPr>
              <w:spacing w:before="80" w:after="80"/>
              <w:jc w:val="center"/>
              <w:rPr>
                <w:szCs w:val="22"/>
              </w:rPr>
            </w:pPr>
            <w:r>
              <w:t>N/A</w:t>
            </w:r>
          </w:p>
        </w:tc>
      </w:tr>
      <w:tr w:rsidR="003D5758" w:rsidRPr="00807DAF" w14:paraId="43B5C1C4" w14:textId="77777777" w:rsidTr="00877BCA">
        <w:tc>
          <w:tcPr>
            <w:tcW w:w="4678" w:type="dxa"/>
            <w:shd w:val="clear" w:color="auto" w:fill="D9D9D9" w:themeFill="background1" w:themeFillShade="D9"/>
          </w:tcPr>
          <w:p w14:paraId="0E50DD4B" w14:textId="77777777" w:rsidR="003D5758" w:rsidRPr="00807DAF" w:rsidRDefault="003D5758" w:rsidP="003D5758">
            <w:pPr>
              <w:spacing w:before="80" w:after="80"/>
              <w:ind w:left="318" w:hanging="284"/>
              <w:jc w:val="left"/>
              <w:rPr>
                <w:b/>
                <w:bCs/>
              </w:rPr>
            </w:pPr>
            <w:r w:rsidRPr="0F90D236">
              <w:rPr>
                <w:b/>
                <w:bCs/>
              </w:rPr>
              <w:t>9.</w:t>
            </w:r>
            <w:r>
              <w:rPr>
                <w:b/>
                <w:szCs w:val="22"/>
              </w:rPr>
              <w:tab/>
            </w:r>
            <w:r w:rsidRPr="0F90D236">
              <w:rPr>
                <w:b/>
                <w:bCs/>
              </w:rPr>
              <w:t>Contract signature</w:t>
            </w:r>
          </w:p>
        </w:tc>
        <w:tc>
          <w:tcPr>
            <w:tcW w:w="2552" w:type="dxa"/>
          </w:tcPr>
          <w:p w14:paraId="4F463A19" w14:textId="42C7859E" w:rsidR="003D5758" w:rsidRPr="00F027AC" w:rsidRDefault="003D5758" w:rsidP="003D5758">
            <w:pPr>
              <w:spacing w:before="80" w:after="80"/>
              <w:jc w:val="center"/>
            </w:pPr>
            <w:r>
              <w:rPr>
                <w14:ligatures w14:val="standardContextual"/>
              </w:rPr>
              <w:t>14 January 2025</w:t>
            </w:r>
          </w:p>
        </w:tc>
        <w:tc>
          <w:tcPr>
            <w:tcW w:w="2551" w:type="dxa"/>
          </w:tcPr>
          <w:p w14:paraId="542FAABC" w14:textId="411F30F9" w:rsidR="003D5758" w:rsidRPr="00807DAF" w:rsidRDefault="003D5758" w:rsidP="003D5758">
            <w:pPr>
              <w:spacing w:before="80" w:after="80"/>
              <w:jc w:val="center"/>
              <w:rPr>
                <w:szCs w:val="22"/>
              </w:rPr>
            </w:pPr>
            <w:r>
              <w:t>N/A</w:t>
            </w:r>
          </w:p>
        </w:tc>
      </w:tr>
    </w:tbl>
    <w:p w14:paraId="2ED76361" w14:textId="224842C1" w:rsidR="00E939EC" w:rsidRDefault="0F90D236" w:rsidP="001C4D3A">
      <w:pPr>
        <w:spacing w:before="120"/>
      </w:pPr>
      <w:r>
        <w:t>All times are in the time zone of the country of the contracting authority.</w:t>
      </w:r>
    </w:p>
    <w:p w14:paraId="4935BD68" w14:textId="68B96896" w:rsidR="00EF54DB" w:rsidRPr="00807DAF" w:rsidRDefault="0783902A" w:rsidP="00D00C65">
      <w:r>
        <w:t>* Exact date(s) and location(s) of the information meeting(s) will be published on the CFCU (</w:t>
      </w:r>
      <w:hyperlink r:id="rId44">
        <w:r w:rsidRPr="0783902A">
          <w:rPr>
            <w:rStyle w:val="Hyperlink"/>
          </w:rPr>
          <w:t>http://www.cfcu.gov.tr</w:t>
        </w:r>
      </w:hyperlink>
      <w:r>
        <w:t>), the Ministry of Foreign Affairs</w:t>
      </w:r>
      <w:r w:rsidR="00C077D0">
        <w:t>-</w:t>
      </w:r>
      <w:r>
        <w:t>Directorate for EU Affairs website at (</w:t>
      </w:r>
      <w:hyperlink r:id="rId45">
        <w:r w:rsidRPr="0783902A">
          <w:rPr>
            <w:rStyle w:val="Hyperlink"/>
          </w:rPr>
          <w:t>http://www.ab.gov.tr</w:t>
        </w:r>
      </w:hyperlink>
      <w:r>
        <w:t xml:space="preserve">), Eurochambres at </w:t>
      </w:r>
      <w:hyperlink r:id="rId46">
        <w:r w:rsidRPr="0783902A">
          <w:rPr>
            <w:rStyle w:val="Hyperlink"/>
          </w:rPr>
          <w:t>https://eurochambres.eu</w:t>
        </w:r>
      </w:hyperlink>
      <w:r>
        <w:t xml:space="preserve">, and TOBB </w:t>
      </w:r>
      <w:hyperlink r:id="rId47">
        <w:r w:rsidRPr="0783902A">
          <w:rPr>
            <w:rStyle w:val="Hyperlink"/>
          </w:rPr>
          <w:t>http://www.tobb.org.tr</w:t>
        </w:r>
      </w:hyperlink>
      <w:r>
        <w:t xml:space="preserve"> websites.</w:t>
      </w:r>
    </w:p>
    <w:p w14:paraId="4778B989" w14:textId="29535653" w:rsidR="1D50656E" w:rsidRDefault="0783902A" w:rsidP="1D50656E">
      <w:r w:rsidRPr="005065B1">
        <w:t xml:space="preserve">This indicative timetable refers to provisional dates (except for dates 2, 3, and 4) and may be updated by the contracting authority during the procedure. In such cases, the updated timetable will be published on the web site where the call was published: website of DG International Partnerships: </w:t>
      </w:r>
      <w:hyperlink r:id="rId48" w:history="1">
        <w:r w:rsidR="00C077D0" w:rsidRPr="009C76F9">
          <w:rPr>
            <w:rStyle w:val="Hyperlink"/>
            <w:szCs w:val="22"/>
          </w:rPr>
          <w:t>https://ec.europa.eu/international-partnerships/home_fr</w:t>
        </w:r>
      </w:hyperlink>
      <w:r w:rsidRPr="005065B1">
        <w:t xml:space="preserve"> or Funding &amp; Tender opportunities (F&amp;T Portal) </w:t>
      </w:r>
      <w:hyperlink r:id="rId49" w:history="1">
        <w:r w:rsidR="00C077D0" w:rsidRPr="00A067E7">
          <w:rPr>
            <w:rStyle w:val="Hyperlink"/>
            <w:szCs w:val="22"/>
          </w:rPr>
          <w:t>https://ec.europa.eu/info/funding-tenders/opportunities/portal/screen/home</w:t>
        </w:r>
      </w:hyperlink>
      <w:r w:rsidRPr="005065B1">
        <w:t xml:space="preserve">, CFCU website at </w:t>
      </w:r>
      <w:hyperlink r:id="rId50">
        <w:r w:rsidR="00C077D0" w:rsidRPr="0783902A">
          <w:rPr>
            <w:rStyle w:val="Hyperlink"/>
          </w:rPr>
          <w:t>http://www.cfcu.gov.tr</w:t>
        </w:r>
      </w:hyperlink>
      <w:r w:rsidRPr="005065B1">
        <w:t xml:space="preserve">, </w:t>
      </w:r>
      <w:proofErr w:type="spellStart"/>
      <w:r w:rsidRPr="005065B1">
        <w:t>Eurochambres</w:t>
      </w:r>
      <w:proofErr w:type="spellEnd"/>
      <w:r w:rsidRPr="005065B1">
        <w:t xml:space="preserve"> at </w:t>
      </w:r>
      <w:hyperlink r:id="rId51">
        <w:r w:rsidR="00C077D0" w:rsidRPr="0783902A">
          <w:rPr>
            <w:rStyle w:val="Hyperlink"/>
          </w:rPr>
          <w:t>https://eurochambres.eu</w:t>
        </w:r>
      </w:hyperlink>
      <w:r w:rsidRPr="005065B1">
        <w:t xml:space="preserve">, the Ministry of Foreign Affairs-Directorate for EU Affairs website at </w:t>
      </w:r>
      <w:hyperlink r:id="rId52">
        <w:r w:rsidR="00C077D0" w:rsidRPr="0783902A">
          <w:rPr>
            <w:rStyle w:val="Hyperlink"/>
          </w:rPr>
          <w:t>http://www.ab.gov.tr</w:t>
        </w:r>
      </w:hyperlink>
      <w:r w:rsidRPr="005065B1">
        <w:t xml:space="preserve">, and the Union of Chambers and Commodity Exchanges of </w:t>
      </w:r>
      <w:proofErr w:type="spellStart"/>
      <w:r w:rsidRPr="005065B1">
        <w:t>Türkiye</w:t>
      </w:r>
      <w:proofErr w:type="spellEnd"/>
      <w:r w:rsidRPr="005065B1">
        <w:t xml:space="preserve"> website at </w:t>
      </w:r>
      <w:hyperlink r:id="rId53">
        <w:r w:rsidR="00C077D0" w:rsidRPr="0783902A">
          <w:rPr>
            <w:rStyle w:val="Hyperlink"/>
          </w:rPr>
          <w:t>http://www.tobb.org.tr</w:t>
        </w:r>
      </w:hyperlink>
      <w:r w:rsidRPr="005065B1">
        <w:t>.</w:t>
      </w:r>
    </w:p>
    <w:p w14:paraId="501D6CD4" w14:textId="7D237029" w:rsidR="1D50656E" w:rsidRDefault="001F3EAC" w:rsidP="00B95230">
      <w:pPr>
        <w:pStyle w:val="Guidelines2"/>
        <w:numPr>
          <w:ilvl w:val="1"/>
          <w:numId w:val="68"/>
        </w:numPr>
        <w:rPr>
          <w:noProof/>
        </w:rPr>
      </w:pPr>
      <w:bookmarkStart w:id="69" w:name="_Toc145057285"/>
      <w:r w:rsidRPr="00877BCA">
        <w:t>Conditions for implementation after the contracting authority’s decision to award a grant</w:t>
      </w:r>
      <w:bookmarkEnd w:id="69"/>
    </w:p>
    <w:p w14:paraId="6C75BA5B" w14:textId="4CBC46FB" w:rsidR="00511FEE" w:rsidRPr="00807DAF" w:rsidRDefault="0F90D236" w:rsidP="009C0935">
      <w:pPr>
        <w:spacing w:before="120" w:after="0"/>
      </w:pPr>
      <w:r>
        <w:t xml:space="preserve">Following the decision to award a grant, the beneficiaries will be offered a contract based on the standard grant contract (see Annex G of these guidelines). By signing the application form (Annex A of these guidelines), the applicants agree, if awarded a grant, to accept the contractual conditions of the standard grant contract. </w:t>
      </w:r>
    </w:p>
    <w:p w14:paraId="7B7B3688" w14:textId="77777777" w:rsidR="00FD5A29" w:rsidRPr="00807DAF" w:rsidRDefault="0F90D236" w:rsidP="0F90D236">
      <w:pPr>
        <w:spacing w:before="120" w:after="0"/>
        <w:rPr>
          <w:u w:val="single"/>
        </w:rPr>
      </w:pPr>
      <w:r w:rsidRPr="0F90D236">
        <w:rPr>
          <w:u w:val="single"/>
        </w:rPr>
        <w:t>Implementation contracts</w:t>
      </w:r>
    </w:p>
    <w:p w14:paraId="40E7FAD0" w14:textId="6DFBDECD" w:rsidR="0007408E" w:rsidRDefault="0F90D236" w:rsidP="009C0935">
      <w:pPr>
        <w:spacing w:before="120" w:after="0"/>
      </w:pPr>
      <w:r>
        <w:t xml:space="preserve">Where implementation of the action requires the beneficiaries </w:t>
      </w:r>
      <w:r w:rsidR="00C077D0" w:rsidRPr="00807DAF">
        <w:t>and its affiliated entity(</w:t>
      </w:r>
      <w:proofErr w:type="spellStart"/>
      <w:r w:rsidR="00C077D0" w:rsidRPr="00807DAF">
        <w:t>ies</w:t>
      </w:r>
      <w:proofErr w:type="spellEnd"/>
      <w:r w:rsidR="00C077D0" w:rsidRPr="00807DAF">
        <w:t>) (if any)</w:t>
      </w:r>
      <w:r w:rsidR="00C077D0">
        <w:t xml:space="preserve"> </w:t>
      </w:r>
      <w:r>
        <w:t>to award procurement contracts, those contracts must be awarded in accordance with Annex IV to the standard grant contract.</w:t>
      </w:r>
    </w:p>
    <w:p w14:paraId="1E8DDDB3" w14:textId="77777777" w:rsidR="00FD5A29" w:rsidRDefault="0F90D236" w:rsidP="009C0935">
      <w:pPr>
        <w:spacing w:before="120" w:after="0"/>
      </w:pPr>
      <w:r>
        <w:t xml:space="preserve">In this context, a distinction should be made between awarding implementation contracts and subcontracting parts of the action described in the proposal, i.e. the description of the action annexed to the grant contract, such subcontracting being subject to additional restrictions (see the general terms and conditions in the model grant contract).  </w:t>
      </w:r>
    </w:p>
    <w:p w14:paraId="437ED13A" w14:textId="77777777" w:rsidR="00FD5A29" w:rsidRDefault="0F90D236" w:rsidP="009C0935">
      <w:pPr>
        <w:spacing w:before="120" w:after="0"/>
      </w:pPr>
      <w:r>
        <w:t xml:space="preserve">Awarding implementation contracts: implementation contracts relate to the acquisition by beneficiaries of routine services and/or necessary goods and equipment as part of their project management; they do not cover any outsourcing of tasks forming part of the action that are described in the proposal, i.e. in the description of the action annexed to the grant contract. </w:t>
      </w:r>
    </w:p>
    <w:p w14:paraId="322A39A5" w14:textId="729F5395" w:rsidR="00FD5A29" w:rsidRPr="00807DAF" w:rsidRDefault="0F90D236" w:rsidP="00877BCA">
      <w:pPr>
        <w:spacing w:before="120" w:after="0"/>
      </w:pPr>
      <w:r>
        <w:t xml:space="preserve">Subcontracting: subcontracting is the implementation, by a third party with which one or more beneficiaries have concluded a procurement contract, of specific tasks forming part of the action as described in annex to the grant contract (see also the general terms and conditions in the model grant contract). </w:t>
      </w:r>
    </w:p>
    <w:p w14:paraId="18F245C9" w14:textId="43C9B8E5" w:rsidR="0007408E" w:rsidRPr="00807DAF" w:rsidRDefault="00267E4F" w:rsidP="00A47D20">
      <w:pPr>
        <w:pStyle w:val="Guidelines1"/>
        <w:numPr>
          <w:ilvl w:val="0"/>
          <w:numId w:val="68"/>
        </w:numPr>
      </w:pPr>
      <w:bookmarkStart w:id="70" w:name="_Toc40507656"/>
      <w:r w:rsidRPr="0F90D236">
        <w:br w:type="page"/>
      </w:r>
      <w:bookmarkStart w:id="71" w:name="_Toc145057286"/>
      <w:r w:rsidR="0F90D236" w:rsidRPr="0F90D236">
        <w:lastRenderedPageBreak/>
        <w:t>LIST OF annexes</w:t>
      </w:r>
      <w:bookmarkEnd w:id="70"/>
      <w:bookmarkEnd w:id="71"/>
    </w:p>
    <w:p w14:paraId="4602CE47" w14:textId="268C8DC0" w:rsidR="00112E4F" w:rsidRPr="00807DAF" w:rsidRDefault="0F90D236" w:rsidP="0F90D236">
      <w:pPr>
        <w:spacing w:before="120" w:after="0"/>
        <w:rPr>
          <w:b/>
          <w:bCs/>
          <w:smallCaps/>
        </w:rPr>
      </w:pPr>
      <w:bookmarkStart w:id="72" w:name="_Toc40507657"/>
      <w:r w:rsidRPr="0F90D236">
        <w:rPr>
          <w:b/>
          <w:bCs/>
          <w:smallCaps/>
        </w:rPr>
        <w:t>DOCUMENTS TO BE COMPLETED</w:t>
      </w:r>
    </w:p>
    <w:p w14:paraId="74B05F65" w14:textId="3E7B82D0" w:rsidR="0007408E" w:rsidRDefault="0007408E" w:rsidP="00484E85">
      <w:pPr>
        <w:spacing w:before="120" w:after="0"/>
        <w:ind w:left="1134" w:hanging="1134"/>
      </w:pPr>
      <w:r w:rsidRPr="00807DAF">
        <w:t>Annex A:</w:t>
      </w:r>
      <w:r w:rsidR="00600738" w:rsidRPr="00807DAF">
        <w:tab/>
      </w:r>
      <w:r w:rsidRPr="00807DAF">
        <w:t>Grant</w:t>
      </w:r>
      <w:r w:rsidRPr="0783902A">
        <w:t xml:space="preserve"> </w:t>
      </w:r>
      <w:r w:rsidR="00A33874">
        <w:t>a</w:t>
      </w:r>
      <w:r w:rsidRPr="00807DAF">
        <w:t xml:space="preserve">pplication </w:t>
      </w:r>
      <w:r w:rsidR="00A33874">
        <w:t>f</w:t>
      </w:r>
      <w:r w:rsidRPr="00807DAF">
        <w:t xml:space="preserve">orm </w:t>
      </w:r>
      <w:r w:rsidR="000F3272">
        <w:t xml:space="preserve">Part A </w:t>
      </w:r>
      <w:r w:rsidRPr="00807DAF">
        <w:t>(Word format)</w:t>
      </w:r>
      <w:bookmarkEnd w:id="72"/>
    </w:p>
    <w:p w14:paraId="23563D3B" w14:textId="655677BC" w:rsidR="000F3272" w:rsidRPr="000F3272" w:rsidRDefault="00C077D0" w:rsidP="0F90D236">
      <w:pPr>
        <w:spacing w:before="120" w:after="0"/>
        <w:ind w:left="1134" w:hanging="1134"/>
        <w:rPr>
          <w:b/>
          <w:bCs/>
        </w:rPr>
      </w:pPr>
      <w:r>
        <w:tab/>
      </w:r>
      <w:r w:rsidR="0F90D236">
        <w:t>Grant application form Part B (Word format)</w:t>
      </w:r>
    </w:p>
    <w:p w14:paraId="2D488B39" w14:textId="77777777" w:rsidR="008D553A" w:rsidRPr="00807DAF" w:rsidRDefault="00600738" w:rsidP="00484E85">
      <w:pPr>
        <w:spacing w:before="120" w:after="0"/>
        <w:ind w:left="1134" w:hanging="1134"/>
      </w:pPr>
      <w:bookmarkStart w:id="73" w:name="_Toc40507658"/>
      <w:r w:rsidRPr="00807DAF">
        <w:t>Annex B:</w:t>
      </w:r>
      <w:r w:rsidRPr="00807DAF">
        <w:tab/>
      </w:r>
      <w:r w:rsidR="0007408E" w:rsidRPr="00807DAF">
        <w:t>Budget (Excel format)</w:t>
      </w:r>
      <w:bookmarkEnd w:id="73"/>
    </w:p>
    <w:p w14:paraId="5311C1FA" w14:textId="10927B8D" w:rsidR="0007408E" w:rsidRPr="00807DAF" w:rsidRDefault="0007408E" w:rsidP="001F3EAC">
      <w:pPr>
        <w:spacing w:before="120" w:after="0"/>
        <w:ind w:left="1134" w:hanging="1134"/>
      </w:pPr>
      <w:bookmarkStart w:id="74" w:name="_Toc40507659"/>
      <w:r w:rsidRPr="00BF158E">
        <w:t>Annex C:</w:t>
      </w:r>
      <w:r w:rsidR="00600738" w:rsidRPr="00BF158E">
        <w:tab/>
      </w:r>
      <w:r w:rsidRPr="00BF158E">
        <w:t>Logical</w:t>
      </w:r>
      <w:r w:rsidRPr="0783902A">
        <w:t xml:space="preserve"> </w:t>
      </w:r>
      <w:r w:rsidR="00A33874">
        <w:t>f</w:t>
      </w:r>
      <w:r w:rsidRPr="00BF158E">
        <w:t>ramework (</w:t>
      </w:r>
      <w:r w:rsidR="00096428" w:rsidRPr="0033630C">
        <w:t xml:space="preserve">Word </w:t>
      </w:r>
      <w:r w:rsidRPr="0033630C">
        <w:t>format</w:t>
      </w:r>
      <w:r w:rsidRPr="00BF158E">
        <w:t>)</w:t>
      </w:r>
      <w:bookmarkEnd w:id="74"/>
    </w:p>
    <w:p w14:paraId="6B4B7D78" w14:textId="413C43D5" w:rsidR="00BA1BCD" w:rsidRDefault="0007408E" w:rsidP="001F3EAC">
      <w:pPr>
        <w:spacing w:before="120" w:after="0"/>
        <w:ind w:left="1134" w:hanging="1134"/>
      </w:pPr>
      <w:bookmarkStart w:id="75" w:name="_Toc40507660"/>
      <w:r w:rsidRPr="000C4276">
        <w:t>Annex D:</w:t>
      </w:r>
      <w:bookmarkEnd w:id="75"/>
      <w:r w:rsidR="00600738" w:rsidRPr="000C4276">
        <w:tab/>
      </w:r>
      <w:r w:rsidR="00DB227A" w:rsidRPr="00003187">
        <w:t>Legal</w:t>
      </w:r>
      <w:r w:rsidR="00DB227A" w:rsidRPr="0783902A">
        <w:t xml:space="preserve"> </w:t>
      </w:r>
      <w:r w:rsidR="00A33874" w:rsidRPr="00003187">
        <w:t>e</w:t>
      </w:r>
      <w:r w:rsidR="00DB227A" w:rsidRPr="00003187">
        <w:t xml:space="preserve">ntity </w:t>
      </w:r>
      <w:r w:rsidR="00267DF2" w:rsidRPr="00003187">
        <w:t>form</w:t>
      </w:r>
      <w:bookmarkStart w:id="76" w:name="_Toc40507661"/>
    </w:p>
    <w:p w14:paraId="1B22F0EF" w14:textId="30AAB6D8" w:rsidR="001F3EAC" w:rsidRDefault="001F3EAC" w:rsidP="00877BCA">
      <w:pPr>
        <w:spacing w:before="120" w:after="0"/>
      </w:pPr>
      <w:r w:rsidRPr="000C4276">
        <w:t>Annex E:</w:t>
      </w:r>
      <w:r>
        <w:t xml:space="preserve">     </w:t>
      </w:r>
      <w:r w:rsidRPr="000C4276">
        <w:t>Financial identification form</w:t>
      </w:r>
    </w:p>
    <w:p w14:paraId="6286628E" w14:textId="0D38DA8F" w:rsidR="006F2E35" w:rsidRPr="00807DAF" w:rsidRDefault="00C64EA0" w:rsidP="001F3EAC">
      <w:pPr>
        <w:spacing w:before="120" w:after="0"/>
        <w:ind w:left="1134" w:hanging="1134"/>
      </w:pPr>
      <w:r>
        <w:t xml:space="preserve">Annex F: </w:t>
      </w:r>
      <w:r>
        <w:tab/>
      </w:r>
      <w:r w:rsidR="009D0FFA">
        <w:t>P</w:t>
      </w:r>
      <w:r w:rsidR="00EA0B2D">
        <w:t>ADOR</w:t>
      </w:r>
      <w:r w:rsidR="009D0FFA">
        <w:t xml:space="preserve"> registration form</w:t>
      </w:r>
    </w:p>
    <w:p w14:paraId="31394BFC" w14:textId="74F60D65" w:rsidR="1D50656E" w:rsidRDefault="1D50656E" w:rsidP="1D50656E">
      <w:pPr>
        <w:spacing w:before="120" w:after="0"/>
        <w:rPr>
          <w:b/>
          <w:bCs/>
          <w:smallCaps/>
        </w:rPr>
      </w:pPr>
      <w:r w:rsidRPr="1D50656E">
        <w:rPr>
          <w:b/>
          <w:bCs/>
          <w:smallCaps/>
        </w:rPr>
        <w:t>DOCUMENTS FOR INFORMATION</w:t>
      </w:r>
    </w:p>
    <w:p w14:paraId="382C0BED" w14:textId="77777777" w:rsidR="00293A81" w:rsidRPr="004B2899" w:rsidRDefault="0007408E" w:rsidP="009C0935">
      <w:pPr>
        <w:spacing w:before="120" w:after="0"/>
        <w:ind w:left="1134" w:hanging="1134"/>
      </w:pPr>
      <w:r w:rsidRPr="00103811">
        <w:t xml:space="preserve">Annex </w:t>
      </w:r>
      <w:r w:rsidR="00C067EC" w:rsidRPr="00103811">
        <w:t>G</w:t>
      </w:r>
      <w:r w:rsidR="00600738" w:rsidRPr="0783902A">
        <w:t>:</w:t>
      </w:r>
      <w:r w:rsidR="00600738" w:rsidRPr="00103811">
        <w:tab/>
      </w:r>
      <w:r w:rsidRPr="00103811">
        <w:t>Standard</w:t>
      </w:r>
      <w:r w:rsidRPr="0783902A">
        <w:t xml:space="preserve"> </w:t>
      </w:r>
      <w:r w:rsidR="00A33874" w:rsidRPr="00103811">
        <w:t>g</w:t>
      </w:r>
      <w:r w:rsidR="00450369" w:rsidRPr="00103811">
        <w:t xml:space="preserve">rant </w:t>
      </w:r>
      <w:r w:rsidR="00293A81" w:rsidRPr="004B2899">
        <w:t>contract</w:t>
      </w:r>
    </w:p>
    <w:bookmarkEnd w:id="76"/>
    <w:p w14:paraId="0CD245B6" w14:textId="1E6CE45D" w:rsidR="00946471" w:rsidRPr="00807DAF" w:rsidRDefault="005677E7" w:rsidP="009C0935">
      <w:pPr>
        <w:tabs>
          <w:tab w:val="left" w:pos="567"/>
          <w:tab w:val="left" w:pos="1701"/>
        </w:tabs>
        <w:spacing w:before="120" w:after="0"/>
        <w:ind w:left="1701" w:hanging="1276"/>
      </w:pPr>
      <w:r w:rsidRPr="00807DAF">
        <w:t>-</w:t>
      </w:r>
      <w:r w:rsidR="00946471" w:rsidRPr="00807DAF">
        <w:tab/>
      </w:r>
      <w:r w:rsidRPr="00807DAF">
        <w:t>Annex II:</w:t>
      </w:r>
      <w:r w:rsidR="00835872">
        <w:t xml:space="preserve"> </w:t>
      </w:r>
      <w:r w:rsidR="00151EDE">
        <w:t>g</w:t>
      </w:r>
      <w:r w:rsidRPr="00807DAF">
        <w:t xml:space="preserve">eneral conditions </w:t>
      </w:r>
    </w:p>
    <w:p w14:paraId="79C91CF2" w14:textId="52818340" w:rsidR="00946471" w:rsidRPr="00807DAF" w:rsidRDefault="005677E7" w:rsidP="009C0935">
      <w:pPr>
        <w:tabs>
          <w:tab w:val="left" w:pos="567"/>
          <w:tab w:val="left" w:pos="1701"/>
        </w:tabs>
        <w:spacing w:before="120" w:after="0"/>
        <w:ind w:left="1701" w:hanging="1276"/>
      </w:pPr>
      <w:r w:rsidRPr="00807DAF">
        <w:t>-</w:t>
      </w:r>
      <w:r w:rsidR="00946471" w:rsidRPr="00807DAF">
        <w:tab/>
      </w:r>
      <w:r w:rsidRPr="00807DAF">
        <w:t>Annex IV</w:t>
      </w:r>
      <w:r w:rsidR="004D7B57" w:rsidRPr="00807DAF">
        <w:t>:</w:t>
      </w:r>
      <w:r w:rsidR="00835872">
        <w:t xml:space="preserve"> </w:t>
      </w:r>
      <w:r w:rsidRPr="00807DAF">
        <w:t xml:space="preserve">contract award </w:t>
      </w:r>
      <w:r w:rsidR="00333E48">
        <w:t>rules</w:t>
      </w:r>
    </w:p>
    <w:p w14:paraId="33687B35" w14:textId="4D950252" w:rsidR="00946471" w:rsidRPr="00807DAF" w:rsidRDefault="005677E7" w:rsidP="009C0935">
      <w:pPr>
        <w:tabs>
          <w:tab w:val="left" w:pos="567"/>
          <w:tab w:val="left" w:pos="1701"/>
        </w:tabs>
        <w:spacing w:before="120" w:after="0"/>
        <w:ind w:left="1701" w:hanging="1276"/>
      </w:pPr>
      <w:r w:rsidRPr="00807DAF">
        <w:t>-</w:t>
      </w:r>
      <w:r w:rsidR="00946471" w:rsidRPr="00807DAF">
        <w:tab/>
      </w:r>
      <w:r w:rsidRPr="00807DAF">
        <w:t>A</w:t>
      </w:r>
      <w:r w:rsidR="00600738" w:rsidRPr="00807DAF">
        <w:t>nnex</w:t>
      </w:r>
      <w:r w:rsidRPr="00807DAF">
        <w:t xml:space="preserve"> V</w:t>
      </w:r>
      <w:r w:rsidR="004D7B57" w:rsidRPr="00807DAF">
        <w:t>:</w:t>
      </w:r>
      <w:r w:rsidR="00835872">
        <w:t xml:space="preserve"> </w:t>
      </w:r>
      <w:r w:rsidRPr="00807DAF">
        <w:t>standard request for payment</w:t>
      </w:r>
    </w:p>
    <w:p w14:paraId="4A4B6D81" w14:textId="6886D5FC" w:rsidR="00946471" w:rsidRPr="00DE7716" w:rsidRDefault="005677E7" w:rsidP="009C0935">
      <w:pPr>
        <w:tabs>
          <w:tab w:val="left" w:pos="567"/>
          <w:tab w:val="left" w:pos="1701"/>
        </w:tabs>
        <w:spacing w:before="120" w:after="0"/>
        <w:ind w:left="1701" w:hanging="1276"/>
      </w:pPr>
      <w:r w:rsidRPr="00807DAF">
        <w:t>-</w:t>
      </w:r>
      <w:r w:rsidR="00946471" w:rsidRPr="00807DAF">
        <w:tab/>
      </w:r>
      <w:r w:rsidR="009D141D" w:rsidRPr="00807DAF">
        <w:t>A</w:t>
      </w:r>
      <w:r w:rsidRPr="00807DAF">
        <w:t>nnex VI</w:t>
      </w:r>
      <w:r w:rsidR="004D7B57" w:rsidRPr="00807DAF">
        <w:t>:</w:t>
      </w:r>
      <w:r w:rsidR="00835872">
        <w:t xml:space="preserve"> </w:t>
      </w:r>
      <w:r w:rsidRPr="00DE7716">
        <w:t>model narrative and financial report</w:t>
      </w:r>
    </w:p>
    <w:p w14:paraId="4AB4D21E" w14:textId="17CC085B" w:rsidR="00946471" w:rsidRPr="00DE7716" w:rsidRDefault="0F90D236" w:rsidP="009C0935">
      <w:pPr>
        <w:tabs>
          <w:tab w:val="left" w:pos="567"/>
          <w:tab w:val="left" w:pos="1701"/>
        </w:tabs>
        <w:spacing w:before="120" w:after="0"/>
        <w:ind w:left="1701" w:hanging="1276"/>
      </w:pPr>
      <w:r w:rsidRPr="0F90D236">
        <w:rPr>
          <w:lang w:val="en-US"/>
        </w:rPr>
        <w:t xml:space="preserve">- Annex VII: </w:t>
      </w:r>
      <w:r>
        <w:t>N/A</w:t>
      </w:r>
    </w:p>
    <w:p w14:paraId="15EDA417" w14:textId="09693C71" w:rsidR="005677E7" w:rsidRPr="002012DE" w:rsidRDefault="0F90D236" w:rsidP="0F90D236">
      <w:pPr>
        <w:tabs>
          <w:tab w:val="left" w:pos="567"/>
          <w:tab w:val="left" w:pos="1701"/>
        </w:tabs>
        <w:spacing w:before="120" w:after="0"/>
        <w:ind w:left="1701" w:hanging="1276"/>
        <w:rPr>
          <w:lang w:val="en-US"/>
        </w:rPr>
      </w:pPr>
      <w:r w:rsidRPr="0F90D236">
        <w:rPr>
          <w:lang w:val="en-US"/>
        </w:rPr>
        <w:t xml:space="preserve">- Annex VIII: </w:t>
      </w:r>
      <w:r>
        <w:t>N/A</w:t>
      </w:r>
    </w:p>
    <w:p w14:paraId="58BCBC01" w14:textId="25406310" w:rsidR="00F56886" w:rsidRDefault="0F90D236" w:rsidP="009C0935">
      <w:pPr>
        <w:tabs>
          <w:tab w:val="left" w:pos="567"/>
          <w:tab w:val="left" w:pos="1701"/>
        </w:tabs>
        <w:spacing w:before="120" w:after="0"/>
        <w:ind w:left="1701" w:hanging="1276"/>
      </w:pPr>
      <w:r>
        <w:t>- Annex IX: standard template for transfer of ownership of assets</w:t>
      </w:r>
    </w:p>
    <w:p w14:paraId="4D56DC63" w14:textId="61E64DF8" w:rsidR="007A38DB" w:rsidRPr="007A38DB" w:rsidRDefault="007A38DB" w:rsidP="009C0935">
      <w:pPr>
        <w:tabs>
          <w:tab w:val="left" w:pos="567"/>
          <w:tab w:val="left" w:pos="1701"/>
        </w:tabs>
        <w:spacing w:before="120" w:after="0"/>
        <w:ind w:left="1701" w:hanging="1276"/>
      </w:pPr>
      <w:r w:rsidRPr="00D00C65">
        <w:t>- Annex X:</w:t>
      </w:r>
      <w:r w:rsidR="00F027AC">
        <w:t xml:space="preserve"> </w:t>
      </w:r>
      <w:r w:rsidR="00F027AC">
        <w:rPr>
          <w:bCs/>
          <w:szCs w:val="22"/>
        </w:rPr>
        <w:t>g</w:t>
      </w:r>
      <w:r w:rsidR="005065B1" w:rsidRPr="00033FDE">
        <w:rPr>
          <w:bCs/>
          <w:szCs w:val="22"/>
        </w:rPr>
        <w:t xml:space="preserve">ranting of </w:t>
      </w:r>
      <w:r w:rsidR="00F027AC">
        <w:rPr>
          <w:bCs/>
          <w:szCs w:val="22"/>
        </w:rPr>
        <w:t>f</w:t>
      </w:r>
      <w:r w:rsidR="005065B1" w:rsidRPr="00033FDE">
        <w:rPr>
          <w:bCs/>
          <w:szCs w:val="22"/>
        </w:rPr>
        <w:t xml:space="preserve">acilities and </w:t>
      </w:r>
      <w:r w:rsidR="00F027AC">
        <w:rPr>
          <w:bCs/>
          <w:szCs w:val="22"/>
        </w:rPr>
        <w:t>t</w:t>
      </w:r>
      <w:r w:rsidR="005065B1" w:rsidRPr="00033FDE">
        <w:rPr>
          <w:bCs/>
          <w:szCs w:val="22"/>
        </w:rPr>
        <w:t>axation</w:t>
      </w:r>
    </w:p>
    <w:p w14:paraId="093F5AA5" w14:textId="168E242D" w:rsidR="009D0FFA" w:rsidRDefault="00112E4F" w:rsidP="009C0935">
      <w:pPr>
        <w:tabs>
          <w:tab w:val="left" w:pos="1134"/>
        </w:tabs>
        <w:spacing w:before="120" w:after="0"/>
        <w:jc w:val="left"/>
        <w:rPr>
          <w:szCs w:val="22"/>
        </w:rPr>
      </w:pPr>
      <w:r w:rsidRPr="0F90D236">
        <w:t>A</w:t>
      </w:r>
      <w:r w:rsidR="00600738" w:rsidRPr="0F90D236">
        <w:t xml:space="preserve">nnex H: </w:t>
      </w:r>
      <w:r w:rsidR="00600738" w:rsidRPr="00807DAF">
        <w:rPr>
          <w:szCs w:val="22"/>
        </w:rPr>
        <w:tab/>
      </w:r>
      <w:r w:rsidR="009D0FFA" w:rsidRPr="0F90D236">
        <w:t>Declaration on Honour</w:t>
      </w:r>
    </w:p>
    <w:p w14:paraId="33E7FF7C" w14:textId="1B26B24D" w:rsidR="009D0FFA" w:rsidRPr="00FD4845" w:rsidRDefault="0F90D236" w:rsidP="009C0935">
      <w:pPr>
        <w:tabs>
          <w:tab w:val="left" w:pos="1134"/>
        </w:tabs>
        <w:spacing w:before="120" w:after="0"/>
        <w:ind w:left="1134" w:hanging="1134"/>
        <w:jc w:val="left"/>
        <w:rPr>
          <w:szCs w:val="22"/>
        </w:rPr>
      </w:pPr>
      <w:r>
        <w:t xml:space="preserve">Annex I:       Daily allowance rates (per diem), available at the following address:  </w:t>
      </w:r>
      <w:hyperlink r:id="rId54">
        <w:r w:rsidRPr="0F90D236">
          <w:rPr>
            <w:rStyle w:val="Hyperlink"/>
          </w:rPr>
          <w:t>https://international-partnerships.ec.europa.eu/funding/guidelines/managing-project/diem-rates_en</w:t>
        </w:r>
      </w:hyperlink>
      <w:r>
        <w:t xml:space="preserve"> </w:t>
      </w:r>
    </w:p>
    <w:p w14:paraId="66410286" w14:textId="77777777" w:rsidR="00151EDE" w:rsidRPr="00807DAF" w:rsidRDefault="00151EDE" w:rsidP="009C0935">
      <w:pPr>
        <w:tabs>
          <w:tab w:val="left" w:pos="1134"/>
        </w:tabs>
        <w:spacing w:before="120" w:after="0"/>
        <w:ind w:left="1134" w:hanging="1134"/>
        <w:jc w:val="left"/>
        <w:rPr>
          <w:szCs w:val="22"/>
        </w:rPr>
      </w:pPr>
      <w:bookmarkStart w:id="77" w:name="_Toc216513983"/>
      <w:r w:rsidRPr="0F90D236">
        <w:t>Annex</w:t>
      </w:r>
      <w:r w:rsidRPr="0783902A">
        <w:t xml:space="preserve"> </w:t>
      </w:r>
      <w:r w:rsidRPr="0F90D236">
        <w:t>J:</w:t>
      </w:r>
      <w:r w:rsidRPr="00807DAF">
        <w:rPr>
          <w:szCs w:val="22"/>
        </w:rPr>
        <w:tab/>
      </w:r>
      <w:r w:rsidRPr="0F90D236">
        <w:t>Information on the tax regime applicable to grant contracts signed under the call.</w:t>
      </w:r>
    </w:p>
    <w:p w14:paraId="0EF7B227" w14:textId="3692F72F" w:rsidR="0000492D" w:rsidRDefault="00600738" w:rsidP="009C0935">
      <w:pPr>
        <w:tabs>
          <w:tab w:val="left" w:pos="1134"/>
        </w:tabs>
        <w:spacing w:before="120" w:after="0"/>
        <w:jc w:val="left"/>
        <w:rPr>
          <w:szCs w:val="22"/>
        </w:rPr>
      </w:pPr>
      <w:r w:rsidRPr="0F90D236">
        <w:t xml:space="preserve">Annex </w:t>
      </w:r>
      <w:r w:rsidR="00151EDE" w:rsidRPr="0F90D236">
        <w:t>K</w:t>
      </w:r>
      <w:r w:rsidRPr="0783902A">
        <w:t>:</w:t>
      </w:r>
      <w:r w:rsidRPr="008503BC">
        <w:rPr>
          <w:szCs w:val="22"/>
        </w:rPr>
        <w:tab/>
      </w:r>
      <w:r w:rsidR="00211B8D" w:rsidRPr="0F90D236">
        <w:t>G</w:t>
      </w:r>
      <w:r w:rsidRPr="0F90D236">
        <w:t>uidelines for assessing</w:t>
      </w:r>
      <w:r w:rsidR="00211B8D" w:rsidRPr="0783902A">
        <w:t xml:space="preserve"> </w:t>
      </w:r>
      <w:r w:rsidR="00A33874" w:rsidRPr="0F90D236">
        <w:t>s</w:t>
      </w:r>
      <w:r w:rsidRPr="0F90D236">
        <w:t>implified cost options</w:t>
      </w:r>
      <w:r w:rsidR="00211B8D" w:rsidRPr="0783902A">
        <w:t>.</w:t>
      </w:r>
    </w:p>
    <w:p w14:paraId="6968B377" w14:textId="03559CEF" w:rsidR="001E6052" w:rsidRDefault="0783902A" w:rsidP="0783902A">
      <w:pPr>
        <w:tabs>
          <w:tab w:val="left" w:pos="1134"/>
        </w:tabs>
        <w:spacing w:before="120" w:after="0"/>
        <w:jc w:val="left"/>
        <w:rPr>
          <w:lang w:val="fr-BE"/>
        </w:rPr>
      </w:pPr>
      <w:r w:rsidRPr="0783902A">
        <w:rPr>
          <w:lang w:val="fr-BE"/>
        </w:rPr>
        <w:t>Annex L:     Self-</w:t>
      </w:r>
      <w:proofErr w:type="spellStart"/>
      <w:r w:rsidRPr="0783902A">
        <w:rPr>
          <w:lang w:val="fr-BE"/>
        </w:rPr>
        <w:t>evaluation</w:t>
      </w:r>
      <w:proofErr w:type="spellEnd"/>
      <w:r w:rsidRPr="0783902A">
        <w:rPr>
          <w:lang w:val="fr-BE"/>
        </w:rPr>
        <w:t xml:space="preserve"> questionnaire on SEA-H</w:t>
      </w:r>
    </w:p>
    <w:p w14:paraId="6D17C1EE" w14:textId="4B743F3D" w:rsidR="00497EF4" w:rsidRPr="00807DAF" w:rsidRDefault="0F90D236" w:rsidP="00877BCA">
      <w:pPr>
        <w:spacing w:before="360" w:after="0"/>
        <w:jc w:val="left"/>
        <w:rPr>
          <w:b/>
          <w:bCs/>
        </w:rPr>
      </w:pPr>
      <w:bookmarkStart w:id="78" w:name="_Toc216513984"/>
      <w:bookmarkEnd w:id="77"/>
      <w:r w:rsidRPr="0F90D236">
        <w:rPr>
          <w:b/>
          <w:bCs/>
        </w:rPr>
        <w:t>Useful links:</w:t>
      </w:r>
    </w:p>
    <w:p w14:paraId="2222A457" w14:textId="77777777" w:rsidR="00345514" w:rsidRPr="00807DAF" w:rsidRDefault="0F90D236" w:rsidP="0F90D236">
      <w:pPr>
        <w:spacing w:before="120" w:after="0"/>
        <w:jc w:val="left"/>
        <w:rPr>
          <w:b/>
          <w:bCs/>
        </w:rPr>
      </w:pPr>
      <w:r w:rsidRPr="0F90D236">
        <w:rPr>
          <w:b/>
          <w:bCs/>
        </w:rPr>
        <w:t xml:space="preserve">Project Cycle Management Guidelines </w:t>
      </w:r>
      <w:bookmarkEnd w:id="78"/>
    </w:p>
    <w:p w14:paraId="260757D4" w14:textId="77777777" w:rsidR="00EA608C" w:rsidRPr="000C4276" w:rsidRDefault="005A59A0" w:rsidP="009C0935">
      <w:pPr>
        <w:pStyle w:val="ListParagraph"/>
        <w:spacing w:before="120" w:after="0"/>
        <w:ind w:left="0"/>
        <w:jc w:val="left"/>
        <w:rPr>
          <w:snapToGrid/>
        </w:rPr>
      </w:pPr>
      <w:hyperlink r:id="rId55" w:history="1">
        <w:r w:rsidR="00EA608C" w:rsidRPr="000C4276">
          <w:rPr>
            <w:rStyle w:val="Hyperlink"/>
          </w:rPr>
          <w:t>https://ec.europa.eu/international-partnerships/funding/managing-project_en</w:t>
        </w:r>
      </w:hyperlink>
      <w:r w:rsidR="00EA608C" w:rsidRPr="000C4276">
        <w:t xml:space="preserve"> </w:t>
      </w:r>
    </w:p>
    <w:p w14:paraId="02C118AA" w14:textId="77777777" w:rsidR="00034524" w:rsidRDefault="0F90D236" w:rsidP="0F90D236">
      <w:pPr>
        <w:spacing w:before="120" w:after="0"/>
        <w:jc w:val="left"/>
        <w:rPr>
          <w:b/>
          <w:bCs/>
        </w:rPr>
      </w:pPr>
      <w:r w:rsidRPr="0F90D236">
        <w:rPr>
          <w:b/>
          <w:bCs/>
        </w:rPr>
        <w:t>The implementation of grant contracts</w:t>
      </w:r>
    </w:p>
    <w:p w14:paraId="44DBF186" w14:textId="77777777" w:rsidR="00BB518F" w:rsidRPr="00807DAF" w:rsidRDefault="0F90D236" w:rsidP="0F90D236">
      <w:pPr>
        <w:spacing w:before="120" w:after="0"/>
        <w:jc w:val="left"/>
        <w:rPr>
          <w:b/>
          <w:bCs/>
        </w:rPr>
      </w:pPr>
      <w:r w:rsidRPr="0F90D236">
        <w:rPr>
          <w:b/>
          <w:bCs/>
        </w:rPr>
        <w:t>A Users' Guide</w:t>
      </w:r>
    </w:p>
    <w:p w14:paraId="282FCDBC" w14:textId="765AE3E7" w:rsidR="00812C39" w:rsidRPr="00807DAF" w:rsidRDefault="00066441" w:rsidP="009C0935">
      <w:pPr>
        <w:spacing w:before="120" w:after="0"/>
        <w:jc w:val="left"/>
        <w:rPr>
          <w:b/>
          <w:szCs w:val="22"/>
        </w:rPr>
      </w:pPr>
      <w:r>
        <w:rPr>
          <w:rStyle w:val="Hyperlink"/>
          <w:szCs w:val="22"/>
        </w:rPr>
        <w:t xml:space="preserve"> </w:t>
      </w:r>
      <w:hyperlink r:id="rId56" w:history="1">
        <w:r>
          <w:rPr>
            <w:rStyle w:val="Hyperlink"/>
          </w:rPr>
          <w:t>https://wikis.ec.europa.eu/pages/viewpage.action?pageId=48169235</w:t>
        </w:r>
      </w:hyperlink>
    </w:p>
    <w:p w14:paraId="1798C20F" w14:textId="77777777" w:rsidR="001E10DA" w:rsidRPr="000C4276" w:rsidRDefault="001E10DA" w:rsidP="0783902A">
      <w:pPr>
        <w:spacing w:before="120" w:after="0"/>
        <w:jc w:val="left"/>
        <w:rPr>
          <w:b/>
          <w:bCs/>
          <w:lang w:val="es-ES"/>
        </w:rPr>
      </w:pPr>
      <w:r w:rsidRPr="0F90D236">
        <w:rPr>
          <w:b/>
          <w:bCs/>
          <w:lang w:val="es-ES"/>
        </w:rPr>
        <w:t>Financial Toolkit</w:t>
      </w:r>
      <w:r w:rsidR="0061182F" w:rsidRPr="000C4276">
        <w:rPr>
          <w:b/>
          <w:szCs w:val="22"/>
          <w:lang w:val="es-ES"/>
        </w:rPr>
        <w:tab/>
      </w:r>
    </w:p>
    <w:p w14:paraId="5A596F52" w14:textId="77777777" w:rsidR="00EA608C" w:rsidRPr="000C4276" w:rsidRDefault="005A59A0" w:rsidP="009C0935">
      <w:pPr>
        <w:pStyle w:val="ListParagraph"/>
        <w:spacing w:before="120" w:after="0"/>
        <w:ind w:left="0"/>
        <w:jc w:val="left"/>
        <w:rPr>
          <w:snapToGrid/>
          <w:lang w:val="es-ES"/>
        </w:rPr>
      </w:pPr>
      <w:hyperlink r:id="rId57" w:history="1">
        <w:r w:rsidR="00EA608C" w:rsidRPr="000C4276">
          <w:rPr>
            <w:rStyle w:val="Hyperlink"/>
            <w:lang w:val="es-ES"/>
          </w:rPr>
          <w:t>https://ec.europa.eu/international-partnerships/financial-management-toolkit_en</w:t>
        </w:r>
      </w:hyperlink>
      <w:r w:rsidR="00EA608C" w:rsidRPr="000C4276">
        <w:rPr>
          <w:lang w:val="es-ES"/>
        </w:rPr>
        <w:t xml:space="preserve"> </w:t>
      </w:r>
    </w:p>
    <w:p w14:paraId="34108DA2" w14:textId="77777777" w:rsidR="001C4D3A" w:rsidRPr="00712ADB" w:rsidRDefault="0F90D236" w:rsidP="0F90D236">
      <w:pPr>
        <w:spacing w:before="120" w:after="0"/>
        <w:rPr>
          <w:color w:val="000000" w:themeColor="text1"/>
        </w:rPr>
      </w:pPr>
      <w:r w:rsidRPr="0F90D236">
        <w:rPr>
          <w:color w:val="000000" w:themeColor="text1"/>
        </w:rPr>
        <w:t>Please note: the toolkit is not part of the grant contract and has no legal value. It merely provides general guidance and may in some details differ from the signed grant contract. In order to ensure compliance with their contractual obligations beneficiaries should not exclusively rely on the toolkit but always consult their individual contract documents.</w:t>
      </w:r>
    </w:p>
    <w:p w14:paraId="7A164874" w14:textId="77777777" w:rsidR="002573AC" w:rsidRPr="00807DAF" w:rsidRDefault="005D7AF3" w:rsidP="001C4D3A">
      <w:pPr>
        <w:spacing w:after="0"/>
        <w:jc w:val="center"/>
        <w:rPr>
          <w:b/>
          <w:szCs w:val="22"/>
          <w:highlight w:val="magenta"/>
          <w:lang w:val="pt-PT"/>
        </w:rPr>
      </w:pPr>
      <w:r w:rsidRPr="00712ADB">
        <w:rPr>
          <w:color w:val="000000"/>
          <w:szCs w:val="22"/>
          <w:lang w:val="pt-PT"/>
        </w:rPr>
        <w:t>* * *</w:t>
      </w:r>
    </w:p>
    <w:sectPr w:rsidR="002573AC" w:rsidRPr="00807DAF" w:rsidSect="002D4ACD">
      <w:headerReference w:type="first" r:id="rId58"/>
      <w:pgSz w:w="11906" w:h="16838" w:code="9"/>
      <w:pgMar w:top="1021" w:right="1134" w:bottom="1021" w:left="1134" w:header="567" w:footer="545" w:gutter="0"/>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84DCB9" w16cex:dateUtc="2023-08-14T15:02:00Z"/>
  <w16cex:commentExtensible w16cex:durableId="2880CC85" w16cex:dateUtc="2023-08-11T13:04:00Z"/>
  <w16cex:commentExtensible w16cex:durableId="2884E048" w16cex:dateUtc="2023-08-14T15:18:00Z"/>
  <w16cex:commentExtensible w16cex:durableId="2887F002" w16cex:dateUtc="2023-08-16T23:01:00Z"/>
  <w16cex:commentExtensible w16cex:durableId="2880CCE8" w16cex:dateUtc="2023-08-11T13:06:00Z"/>
  <w16cex:commentExtensible w16cex:durableId="2887F344" w16cex:dateUtc="2023-08-16T23:15:00Z"/>
  <w16cex:commentExtensible w16cex:durableId="2887F55B" w16cex:dateUtc="2023-08-16T23:24:00Z"/>
  <w16cex:commentExtensible w16cex:durableId="2887F6B2" w16cex:dateUtc="2023-08-16T23:30:00Z"/>
  <w16cex:commentExtensible w16cex:durableId="2887F814" w16cex:dateUtc="2023-08-16T23:36:00Z"/>
  <w16cex:commentExtensible w16cex:durableId="2887F8FC" w16cex:dateUtc="2023-08-16T23:40:00Z"/>
  <w16cex:commentExtensible w16cex:durableId="2887F93B" w16cex:dateUtc="2023-08-16T23:41:00Z"/>
  <w16cex:commentExtensible w16cex:durableId="2887FA8A" w16cex:dateUtc="2023-08-16T23:46:00Z"/>
  <w16cex:commentExtensible w16cex:durableId="2887FF53" w16cex:dateUtc="2023-08-17T00:07:00Z"/>
  <w16cex:commentExtensible w16cex:durableId="288800EB" w16cex:dateUtc="2023-08-17T00:14:00Z"/>
  <w16cex:commentExtensible w16cex:durableId="2888019A" w16cex:dateUtc="2023-08-17T00:16:00Z"/>
  <w16cex:commentExtensible w16cex:durableId="288801E5" w16cex:dateUtc="2023-08-17T00:18:00Z"/>
  <w16cex:commentExtensible w16cex:durableId="2888029F" w16cex:dateUtc="2023-08-17T00:21:00Z"/>
  <w16cex:commentExtensible w16cex:durableId="28880553" w16cex:dateUtc="2023-08-17T00:32:00Z"/>
  <w16cex:commentExtensible w16cex:durableId="288804B5" w16cex:dateUtc="2023-08-17T00:30:00Z"/>
  <w16cex:commentExtensible w16cex:durableId="28880355" w16cex:dateUtc="2023-08-17T00:24:00Z"/>
  <w16cex:commentExtensible w16cex:durableId="288803E8" w16cex:dateUtc="2023-08-17T00:26:00Z"/>
  <w16cex:commentExtensible w16cex:durableId="28880666" w16cex:dateUtc="2023-08-17T00:3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C41ED9" w14:textId="77777777" w:rsidR="005A59A0" w:rsidRDefault="005A59A0">
      <w:r>
        <w:separator/>
      </w:r>
    </w:p>
    <w:p w14:paraId="1CE03623" w14:textId="77777777" w:rsidR="005A59A0" w:rsidRDefault="005A59A0"/>
  </w:endnote>
  <w:endnote w:type="continuationSeparator" w:id="0">
    <w:p w14:paraId="1B953522" w14:textId="77777777" w:rsidR="005A59A0" w:rsidRDefault="005A59A0">
      <w:r>
        <w:continuationSeparator/>
      </w:r>
    </w:p>
    <w:p w14:paraId="46242B9F" w14:textId="77777777" w:rsidR="005A59A0" w:rsidRDefault="005A59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1F396" w14:textId="64F4B638" w:rsidR="00005F89" w:rsidRPr="000C4276" w:rsidRDefault="00005F89" w:rsidP="0F90D236">
    <w:pPr>
      <w:pStyle w:val="Footer"/>
      <w:tabs>
        <w:tab w:val="right" w:pos="9639"/>
      </w:tabs>
      <w:spacing w:before="120" w:after="0"/>
      <w:rPr>
        <w:rFonts w:ascii="Times New Roman" w:hAnsi="Times New Roman"/>
        <w:b/>
        <w:bCs/>
        <w:sz w:val="20"/>
      </w:rPr>
    </w:pPr>
    <w:r w:rsidRPr="0F90D236">
      <w:rPr>
        <w:rFonts w:ascii="Times New Roman" w:hAnsi="Times New Roman"/>
        <w:b/>
        <w:bCs/>
        <w:sz w:val="20"/>
      </w:rPr>
      <w:t>2021.1</w:t>
    </w:r>
    <w:r w:rsidRPr="00A016F9">
      <w:rPr>
        <w:rFonts w:ascii="Times New Roman" w:hAnsi="Times New Roman"/>
        <w:sz w:val="18"/>
        <w:szCs w:val="18"/>
      </w:rPr>
      <w:tab/>
      <w:t xml:space="preserve">Page </w:t>
    </w:r>
    <w:r w:rsidRPr="0F90D236">
      <w:rPr>
        <w:rFonts w:ascii="Times New Roman" w:hAnsi="Times New Roman"/>
        <w:noProof/>
        <w:sz w:val="18"/>
        <w:szCs w:val="18"/>
      </w:rPr>
      <w:fldChar w:fldCharType="begin"/>
    </w:r>
    <w:r>
      <w:rPr>
        <w:rFonts w:ascii="Times New Roman" w:hAnsi="Times New Roman"/>
        <w:sz w:val="18"/>
        <w:szCs w:val="18"/>
      </w:rPr>
      <w:instrText xml:space="preserve"> PAGE   \* MERGEFORMAT </w:instrText>
    </w:r>
    <w:r w:rsidRPr="0F90D236">
      <w:rPr>
        <w:rFonts w:ascii="Times New Roman" w:hAnsi="Times New Roman"/>
        <w:sz w:val="18"/>
        <w:szCs w:val="18"/>
      </w:rPr>
      <w:fldChar w:fldCharType="separate"/>
    </w:r>
    <w:r>
      <w:rPr>
        <w:rFonts w:ascii="Times New Roman" w:hAnsi="Times New Roman"/>
        <w:noProof/>
        <w:sz w:val="18"/>
        <w:szCs w:val="18"/>
      </w:rPr>
      <w:t>21</w:t>
    </w:r>
    <w:r w:rsidRPr="0F90D236">
      <w:rPr>
        <w:rFonts w:ascii="Times New Roman" w:hAnsi="Times New Roman"/>
        <w:noProof/>
        <w:sz w:val="18"/>
        <w:szCs w:val="18"/>
      </w:rPr>
      <w:fldChar w:fldCharType="end"/>
    </w:r>
    <w:r w:rsidRPr="00A016F9">
      <w:rPr>
        <w:rFonts w:ascii="Times New Roman" w:hAnsi="Times New Roman"/>
        <w:sz w:val="18"/>
        <w:szCs w:val="18"/>
      </w:rPr>
      <w:t xml:space="preserve"> of </w:t>
    </w:r>
    <w:r w:rsidRPr="0F90D236">
      <w:rPr>
        <w:rFonts w:ascii="Times New Roman" w:hAnsi="Times New Roman"/>
        <w:noProof/>
        <w:sz w:val="18"/>
        <w:szCs w:val="18"/>
      </w:rPr>
      <w:fldChar w:fldCharType="begin"/>
    </w:r>
    <w:r>
      <w:rPr>
        <w:rFonts w:ascii="Times New Roman" w:hAnsi="Times New Roman"/>
        <w:sz w:val="18"/>
        <w:szCs w:val="18"/>
      </w:rPr>
      <w:instrText xml:space="preserve"> NUMPAGES   \* MERGEFORMAT </w:instrText>
    </w:r>
    <w:r w:rsidRPr="0F90D236">
      <w:rPr>
        <w:rFonts w:ascii="Times New Roman" w:hAnsi="Times New Roman"/>
        <w:sz w:val="18"/>
        <w:szCs w:val="18"/>
      </w:rPr>
      <w:fldChar w:fldCharType="separate"/>
    </w:r>
    <w:r>
      <w:rPr>
        <w:rFonts w:ascii="Times New Roman" w:hAnsi="Times New Roman"/>
        <w:noProof/>
        <w:sz w:val="18"/>
        <w:szCs w:val="18"/>
      </w:rPr>
      <w:t>33</w:t>
    </w:r>
    <w:r w:rsidRPr="0F90D236">
      <w:rPr>
        <w:rFonts w:ascii="Times New Roman" w:hAnsi="Times New Roman"/>
        <w:noProof/>
        <w:sz w:val="18"/>
        <w:szCs w:val="18"/>
      </w:rPr>
      <w:fldChar w:fldCharType="end"/>
    </w:r>
  </w:p>
  <w:p w14:paraId="2FBA9CD5" w14:textId="70987ABA" w:rsidR="00005F89" w:rsidRPr="00491F8A" w:rsidRDefault="00005F89" w:rsidP="0F90D236">
    <w:pPr>
      <w:pStyle w:val="Footer"/>
      <w:tabs>
        <w:tab w:val="right" w:pos="9639"/>
      </w:tabs>
      <w:spacing w:after="0"/>
      <w:rPr>
        <w:rFonts w:ascii="Times New Roman" w:hAnsi="Times New Roman"/>
        <w:sz w:val="18"/>
        <w:szCs w:val="18"/>
      </w:rPr>
    </w:pPr>
    <w:r w:rsidRPr="0F90D236">
      <w:rPr>
        <w:rStyle w:val="PageNumber"/>
        <w:rFonts w:ascii="Times New Roman" w:hAnsi="Times New Roman"/>
        <w:sz w:val="18"/>
        <w:szCs w:val="18"/>
      </w:rPr>
      <w:t>e3a_guidelines_en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1F051" w14:textId="2CB7BBA5" w:rsidR="00005F89" w:rsidRPr="00491F8A" w:rsidRDefault="00005F89" w:rsidP="0F90D236">
    <w:pPr>
      <w:pStyle w:val="Footer"/>
      <w:tabs>
        <w:tab w:val="right" w:pos="9639"/>
      </w:tabs>
      <w:spacing w:after="0"/>
      <w:rPr>
        <w:rFonts w:ascii="Times New Roman" w:hAnsi="Times New Roman"/>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368D3" w14:textId="228FF514" w:rsidR="00005F89" w:rsidRDefault="00005F89" w:rsidP="0F90D236">
    <w:pPr>
      <w:pStyle w:val="Footer"/>
      <w:tabs>
        <w:tab w:val="right" w:pos="9639"/>
      </w:tabs>
      <w:spacing w:after="0"/>
      <w:rPr>
        <w:rFonts w:ascii="Times New Roman" w:hAnsi="Times New Roman"/>
        <w:sz w:val="18"/>
        <w:szCs w:val="18"/>
      </w:rPr>
    </w:pPr>
    <w:r w:rsidRPr="0F90D236">
      <w:rPr>
        <w:rFonts w:ascii="Times New Roman" w:hAnsi="Times New Roman"/>
        <w:b/>
        <w:bCs/>
        <w:sz w:val="20"/>
      </w:rPr>
      <w:t>2021.1</w:t>
    </w:r>
    <w:r w:rsidRPr="00A016F9">
      <w:rPr>
        <w:rFonts w:ascii="Times New Roman" w:hAnsi="Times New Roman"/>
        <w:sz w:val="18"/>
        <w:szCs w:val="18"/>
      </w:rPr>
      <w:tab/>
      <w:t xml:space="preserve">Page </w:t>
    </w:r>
    <w:r w:rsidRPr="0F90D236">
      <w:rPr>
        <w:rFonts w:ascii="Times New Roman" w:hAnsi="Times New Roman"/>
        <w:noProof/>
        <w:sz w:val="18"/>
        <w:szCs w:val="18"/>
      </w:rPr>
      <w:fldChar w:fldCharType="begin"/>
    </w:r>
    <w:r>
      <w:rPr>
        <w:rFonts w:ascii="Times New Roman" w:hAnsi="Times New Roman"/>
        <w:sz w:val="18"/>
        <w:szCs w:val="18"/>
      </w:rPr>
      <w:instrText xml:space="preserve"> PAGE   \* MERGEFORMAT </w:instrText>
    </w:r>
    <w:r w:rsidRPr="0F90D236">
      <w:rPr>
        <w:rFonts w:ascii="Times New Roman" w:hAnsi="Times New Roman"/>
        <w:sz w:val="18"/>
        <w:szCs w:val="18"/>
      </w:rPr>
      <w:fldChar w:fldCharType="separate"/>
    </w:r>
    <w:r>
      <w:rPr>
        <w:rFonts w:ascii="Times New Roman" w:hAnsi="Times New Roman"/>
        <w:noProof/>
        <w:sz w:val="18"/>
        <w:szCs w:val="18"/>
      </w:rPr>
      <w:t>5</w:t>
    </w:r>
    <w:r w:rsidRPr="0F90D236">
      <w:rPr>
        <w:rFonts w:ascii="Times New Roman" w:hAnsi="Times New Roman"/>
        <w:noProof/>
        <w:sz w:val="18"/>
        <w:szCs w:val="18"/>
      </w:rPr>
      <w:fldChar w:fldCharType="end"/>
    </w:r>
    <w:r w:rsidRPr="00A016F9">
      <w:rPr>
        <w:rFonts w:ascii="Times New Roman" w:hAnsi="Times New Roman"/>
        <w:sz w:val="18"/>
        <w:szCs w:val="18"/>
      </w:rPr>
      <w:t xml:space="preserve"> of </w:t>
    </w:r>
    <w:r w:rsidRPr="0F90D236">
      <w:rPr>
        <w:rFonts w:ascii="Times New Roman" w:hAnsi="Times New Roman"/>
        <w:noProof/>
        <w:sz w:val="18"/>
        <w:szCs w:val="18"/>
      </w:rPr>
      <w:fldChar w:fldCharType="begin"/>
    </w:r>
    <w:r>
      <w:rPr>
        <w:rFonts w:ascii="Times New Roman" w:hAnsi="Times New Roman"/>
        <w:sz w:val="18"/>
        <w:szCs w:val="18"/>
      </w:rPr>
      <w:instrText xml:space="preserve"> NUMPAGES   \* MERGEFORMAT </w:instrText>
    </w:r>
    <w:r w:rsidRPr="0F90D236">
      <w:rPr>
        <w:rFonts w:ascii="Times New Roman" w:hAnsi="Times New Roman"/>
        <w:sz w:val="18"/>
        <w:szCs w:val="18"/>
      </w:rPr>
      <w:fldChar w:fldCharType="separate"/>
    </w:r>
    <w:r>
      <w:rPr>
        <w:rFonts w:ascii="Times New Roman" w:hAnsi="Times New Roman"/>
        <w:noProof/>
        <w:sz w:val="18"/>
        <w:szCs w:val="18"/>
      </w:rPr>
      <w:t>33</w:t>
    </w:r>
    <w:r w:rsidRPr="0F90D236">
      <w:rPr>
        <w:rFonts w:ascii="Times New Roman" w:hAnsi="Times New Roman"/>
        <w:noProof/>
        <w:sz w:val="18"/>
        <w:szCs w:val="18"/>
      </w:rPr>
      <w:fldChar w:fldCharType="end"/>
    </w:r>
  </w:p>
  <w:p w14:paraId="000946A4" w14:textId="086CBD55" w:rsidR="00005F89" w:rsidRPr="00491F8A" w:rsidRDefault="00005F89" w:rsidP="0F90D236">
    <w:pPr>
      <w:pStyle w:val="Footer"/>
      <w:tabs>
        <w:tab w:val="right" w:pos="9639"/>
      </w:tabs>
      <w:spacing w:after="0"/>
      <w:rPr>
        <w:rFonts w:ascii="Times New Roman" w:hAnsi="Times New Roman"/>
        <w:sz w:val="18"/>
        <w:szCs w:val="18"/>
      </w:rPr>
    </w:pPr>
    <w:r w:rsidRPr="0F90D236">
      <w:rPr>
        <w:rStyle w:val="PageNumber"/>
        <w:rFonts w:ascii="Times New Roman" w:hAnsi="Times New Roman"/>
        <w:sz w:val="18"/>
        <w:szCs w:val="18"/>
      </w:rPr>
      <w:t>e3a_guidelines_en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F52BAD" w14:textId="77777777" w:rsidR="005A59A0" w:rsidRDefault="005A59A0" w:rsidP="00BF158E">
      <w:pPr>
        <w:spacing w:before="120" w:after="0"/>
      </w:pPr>
      <w:r>
        <w:separator/>
      </w:r>
    </w:p>
  </w:footnote>
  <w:footnote w:type="continuationSeparator" w:id="0">
    <w:p w14:paraId="4169336C" w14:textId="77777777" w:rsidR="005A59A0" w:rsidRDefault="005A59A0">
      <w:r>
        <w:continuationSeparator/>
      </w:r>
    </w:p>
  </w:footnote>
  <w:footnote w:type="continuationNotice" w:id="1">
    <w:p w14:paraId="56ECFDAD" w14:textId="77777777" w:rsidR="005A59A0" w:rsidRPr="004D357E" w:rsidRDefault="005A59A0" w:rsidP="004D357E">
      <w:pPr>
        <w:pStyle w:val="Footer"/>
      </w:pPr>
    </w:p>
  </w:footnote>
  <w:footnote w:id="2">
    <w:p w14:paraId="1BCA325B" w14:textId="102812EF" w:rsidR="00005F89" w:rsidRPr="00BA1054" w:rsidRDefault="00005F89">
      <w:pPr>
        <w:pStyle w:val="FootnoteText"/>
        <w:rPr>
          <w:lang w:val="en-US"/>
        </w:rPr>
      </w:pPr>
      <w:r>
        <w:rPr>
          <w:rStyle w:val="FootnoteReference"/>
        </w:rPr>
        <w:footnoteRef/>
      </w:r>
      <w:r>
        <w:t xml:space="preserve"> </w:t>
      </w:r>
      <w:r w:rsidRPr="002E77A6">
        <w:t>Where a grant is financed by the European Development Fund, any mention of European Union financing must be understood as referring to European Development Fund financing.</w:t>
      </w:r>
    </w:p>
  </w:footnote>
  <w:footnote w:id="3">
    <w:p w14:paraId="286BBB56" w14:textId="1AA2406F" w:rsidR="00005F89" w:rsidRPr="003A723F" w:rsidRDefault="00005F89" w:rsidP="000D35EC">
      <w:pPr>
        <w:pStyle w:val="FootnoteText"/>
      </w:pPr>
      <w:r w:rsidRPr="00BF158E">
        <w:rPr>
          <w:vertAlign w:val="superscript"/>
        </w:rPr>
        <w:footnoteRef/>
      </w:r>
      <w:r>
        <w:t xml:space="preserve"> </w:t>
      </w:r>
      <w:r w:rsidRPr="00C57AF5">
        <w:t>To be determined on the basis of the organisation’s statutes, which should demonstrate that it has been established by an instrument governed by the national law of the country concerned and that its head office is located in an eligible country. In this respect, any legal entity whose statutes have been established in another country cannot be considered an eligible local organisation, even if the statutes are registered locally or a ‘Memorandum of Understanding’ has been concluded.</w:t>
      </w:r>
    </w:p>
  </w:footnote>
  <w:footnote w:id="4">
    <w:p w14:paraId="518386ED" w14:textId="28F01674" w:rsidR="00005F89" w:rsidRPr="00C57AF5" w:rsidRDefault="00005F89" w:rsidP="000D35EC">
      <w:pPr>
        <w:pStyle w:val="FootnoteText"/>
        <w:rPr>
          <w:lang w:val="en-US"/>
        </w:rPr>
      </w:pPr>
      <w:r>
        <w:rPr>
          <w:rStyle w:val="FootnoteReference"/>
        </w:rPr>
        <w:footnoteRef/>
      </w:r>
      <w:r w:rsidRPr="00C57AF5">
        <w:t>With regard to Israeli entities, please follow Guidelines on the eligibility of Israeli entities and their activities in the territories occupied by Israel since June 1967 for grants, prizes and financial instruments funded by the EU from 2014 onwards (OJ C 205, 19.7.2013, p. 9).</w:t>
      </w:r>
    </w:p>
  </w:footnote>
  <w:footnote w:id="5">
    <w:p w14:paraId="47FEAB68" w14:textId="5C2D4E4C" w:rsidR="00005F89" w:rsidRPr="003A723F" w:rsidRDefault="00005F89" w:rsidP="000D35EC">
      <w:pPr>
        <w:pStyle w:val="FootnoteText"/>
      </w:pPr>
      <w:r w:rsidRPr="003A723F">
        <w:rPr>
          <w:vertAlign w:val="superscript"/>
        </w:rPr>
        <w:footnoteRef/>
      </w:r>
      <w:r w:rsidRPr="003A723F">
        <w:rPr>
          <w:vertAlign w:val="superscript"/>
        </w:rPr>
        <w:t xml:space="preserve"> </w:t>
      </w:r>
      <w:r w:rsidRPr="00C57AF5">
        <w:t xml:space="preserve">IPA Regulation (PRAG Annex A2a1) is available from the following internet address: </w:t>
      </w:r>
      <w:hyperlink r:id="rId1" w:history="1">
        <w:r w:rsidRPr="00C57AF5">
          <w:rPr>
            <w:rStyle w:val="Hyperlink"/>
            <w:sz w:val="18"/>
            <w:szCs w:val="18"/>
          </w:rPr>
          <w:t>https://wikis.ec.europa.eu/display/ExactExternalWiki/Annexes</w:t>
        </w:r>
      </w:hyperlink>
    </w:p>
  </w:footnote>
  <w:footnote w:id="6">
    <w:p w14:paraId="4D0EB5A5" w14:textId="38CEAAF4" w:rsidR="00005F89" w:rsidRPr="003A723F" w:rsidRDefault="00005F89" w:rsidP="000D35EC">
      <w:pPr>
        <w:pStyle w:val="FootnoteText"/>
      </w:pPr>
      <w:r w:rsidRPr="003A723F">
        <w:rPr>
          <w:rStyle w:val="FootnoteReference"/>
          <w:sz w:val="18"/>
          <w:szCs w:val="18"/>
        </w:rPr>
        <w:footnoteRef/>
      </w:r>
      <w:r>
        <w:t xml:space="preserve"> </w:t>
      </w:r>
      <w:r w:rsidRPr="00C57AF5">
        <w:t xml:space="preserve">The members of TOBB are listed at the following websites: </w:t>
      </w:r>
      <w:hyperlink r:id="rId2" w:history="1">
        <w:r w:rsidRPr="00C57AF5">
          <w:rPr>
            <w:rStyle w:val="Hyperlink"/>
            <w:sz w:val="18"/>
            <w:szCs w:val="18"/>
          </w:rPr>
          <w:t>https://www.tobb.org.tr/Sayfalar/Eng/TicaretOdalari.php</w:t>
        </w:r>
      </w:hyperlink>
      <w:r w:rsidRPr="00877BCA">
        <w:rPr>
          <w:sz w:val="18"/>
          <w:szCs w:val="18"/>
        </w:rPr>
        <w:t xml:space="preserve">; </w:t>
      </w:r>
      <w:hyperlink r:id="rId3" w:history="1">
        <w:r w:rsidRPr="00C57AF5">
          <w:rPr>
            <w:rStyle w:val="Hyperlink"/>
            <w:sz w:val="18"/>
            <w:szCs w:val="18"/>
          </w:rPr>
          <w:t>https://www.tobb.org.tr/Sayfalar/Eng/SanayiOdalari.php</w:t>
        </w:r>
      </w:hyperlink>
      <w:r w:rsidRPr="00877BCA">
        <w:rPr>
          <w:sz w:val="18"/>
          <w:szCs w:val="18"/>
        </w:rPr>
        <w:t xml:space="preserve">; </w:t>
      </w:r>
      <w:hyperlink r:id="rId4" w:history="1">
        <w:r w:rsidRPr="00C57AF5">
          <w:rPr>
            <w:rStyle w:val="Hyperlink"/>
            <w:sz w:val="18"/>
            <w:szCs w:val="18"/>
          </w:rPr>
          <w:t>https://www.tobb.org.tr/Sayfalar/Eng/TicaretveSanayiOdalari.php</w:t>
        </w:r>
      </w:hyperlink>
      <w:r w:rsidRPr="00877BCA">
        <w:rPr>
          <w:sz w:val="18"/>
          <w:szCs w:val="18"/>
        </w:rPr>
        <w:t xml:space="preserve">; </w:t>
      </w:r>
      <w:hyperlink r:id="rId5" w:history="1">
        <w:r w:rsidRPr="00C57AF5">
          <w:rPr>
            <w:rStyle w:val="Hyperlink"/>
            <w:sz w:val="18"/>
            <w:szCs w:val="18"/>
          </w:rPr>
          <w:t>https://www.tobb.org.tr/Sayfalar/Eng/DenizTicaretOdalari.php</w:t>
        </w:r>
      </w:hyperlink>
      <w:r w:rsidRPr="00877BCA">
        <w:rPr>
          <w:sz w:val="18"/>
          <w:szCs w:val="18"/>
        </w:rPr>
        <w:t xml:space="preserve">; </w:t>
      </w:r>
      <w:hyperlink r:id="rId6" w:history="1">
        <w:r w:rsidRPr="00C57AF5">
          <w:rPr>
            <w:rStyle w:val="Hyperlink"/>
            <w:sz w:val="18"/>
            <w:szCs w:val="18"/>
          </w:rPr>
          <w:t>https://www.tobb.org.tr/Sayfalar/Eng/TicaretBorsalari.php</w:t>
        </w:r>
      </w:hyperlink>
      <w:r w:rsidRPr="00877BCA">
        <w:rPr>
          <w:sz w:val="18"/>
          <w:szCs w:val="18"/>
        </w:rPr>
        <w:t>.</w:t>
      </w:r>
    </w:p>
  </w:footnote>
  <w:footnote w:id="7">
    <w:p w14:paraId="70E7A450" w14:textId="1319BB6E" w:rsidR="00005F89" w:rsidRPr="00454CCC" w:rsidRDefault="00005F89" w:rsidP="000D35EC">
      <w:pPr>
        <w:pStyle w:val="FootnoteText"/>
        <w:rPr>
          <w:lang w:val="tr-TR"/>
        </w:rPr>
      </w:pPr>
      <w:r w:rsidRPr="003A723F">
        <w:rPr>
          <w:rStyle w:val="FootnoteReference"/>
          <w:sz w:val="18"/>
          <w:szCs w:val="18"/>
        </w:rPr>
        <w:footnoteRef/>
      </w:r>
      <w:r w:rsidRPr="003A723F">
        <w:rPr>
          <w:rStyle w:val="FootnoteReference"/>
          <w:sz w:val="18"/>
          <w:szCs w:val="18"/>
        </w:rPr>
        <w:t xml:space="preserve"> </w:t>
      </w:r>
      <w:r w:rsidRPr="003A723F">
        <w:t xml:space="preserve">The eligible EU Member States/candidate countries, represented by Eurochambres, are listed at the following website: </w:t>
      </w:r>
      <w:hyperlink r:id="rId7" w:history="1">
        <w:r w:rsidRPr="003A723F">
          <w:rPr>
            <w:rStyle w:val="Hyperlink"/>
            <w:sz w:val="18"/>
            <w:szCs w:val="18"/>
          </w:rPr>
          <w:t>https://www.eurochambres.eu/about/members/</w:t>
        </w:r>
      </w:hyperlink>
    </w:p>
  </w:footnote>
  <w:footnote w:id="8">
    <w:p w14:paraId="3E9E5577" w14:textId="7C1DED58" w:rsidR="00005F89" w:rsidRPr="001677F8" w:rsidRDefault="00005F89" w:rsidP="000D35EC">
      <w:pPr>
        <w:pStyle w:val="FootnoteText"/>
        <w:rPr>
          <w:lang w:val="tr-TR"/>
        </w:rPr>
      </w:pPr>
      <w:r w:rsidRPr="002D36A7">
        <w:rPr>
          <w:rStyle w:val="FootnoteReference"/>
        </w:rPr>
        <w:footnoteRef/>
      </w:r>
      <w:r w:rsidRPr="65D84291">
        <w:t xml:space="preserve"> </w:t>
      </w:r>
      <w:r w:rsidRPr="003A723F">
        <w:t>F</w:t>
      </w:r>
      <w:r>
        <w:t xml:space="preserve">or the purpose of this call, the provinces included in the </w:t>
      </w:r>
      <w:r w:rsidRPr="003A723F">
        <w:t>level 4,</w:t>
      </w:r>
      <w:r>
        <w:t xml:space="preserve"> </w:t>
      </w:r>
      <w:r w:rsidRPr="003A723F">
        <w:t>5,</w:t>
      </w:r>
      <w:r>
        <w:t xml:space="preserve"> </w:t>
      </w:r>
      <w:r w:rsidRPr="003A723F">
        <w:t xml:space="preserve">6 are considered </w:t>
      </w:r>
      <w:r>
        <w:t xml:space="preserve">as </w:t>
      </w:r>
      <w:r w:rsidRPr="003A723F">
        <w:t xml:space="preserve">“less developed regions” </w:t>
      </w:r>
      <w:r>
        <w:t>as described in the socio-economic development index-2017 (SEDI-2017) of the Ministry of Industry and Technology. For more information please visit:</w:t>
      </w:r>
      <w:r w:rsidRPr="003A723F">
        <w:t xml:space="preserve"> </w:t>
      </w:r>
      <w:hyperlink r:id="rId8" w:history="1">
        <w:r>
          <w:rPr>
            <w:rStyle w:val="Hyperlink"/>
          </w:rPr>
          <w:t>https://www.sanayi.gov.tr/merkez-birimi/b94224510b7b/sege</w:t>
        </w:r>
      </w:hyperlink>
    </w:p>
  </w:footnote>
  <w:footnote w:id="9">
    <w:p w14:paraId="5B4179D0" w14:textId="5F015B3D" w:rsidR="00005F89" w:rsidRPr="00003187" w:rsidRDefault="00005F89" w:rsidP="000D35EC">
      <w:pPr>
        <w:pStyle w:val="FootnoteText"/>
        <w:rPr>
          <w:lang w:val="tr-TR"/>
        </w:rPr>
      </w:pPr>
      <w:r>
        <w:rPr>
          <w:rStyle w:val="FootnoteReference"/>
        </w:rPr>
        <w:footnoteRef/>
      </w:r>
      <w:r w:rsidRPr="00003187">
        <w:rPr>
          <w:lang w:val="tr-TR"/>
        </w:rPr>
        <w:t xml:space="preserve"> </w:t>
      </w:r>
      <w:r w:rsidRPr="009C3793">
        <w:t xml:space="preserve">As per the Presidential Decree dated 08.02.2023, the provinces of “state of emergency” will be considered as “significantly affected provinces” for the purpose of this call; namely: Adana, </w:t>
      </w:r>
      <w:proofErr w:type="spellStart"/>
      <w:r w:rsidRPr="009C3793">
        <w:t>Adıyaman</w:t>
      </w:r>
      <w:proofErr w:type="spellEnd"/>
      <w:r w:rsidRPr="009C3793">
        <w:t xml:space="preserve">, </w:t>
      </w:r>
      <w:proofErr w:type="spellStart"/>
      <w:r w:rsidRPr="009C3793">
        <w:t>Diyarbakır</w:t>
      </w:r>
      <w:proofErr w:type="spellEnd"/>
      <w:r w:rsidRPr="009C3793">
        <w:t xml:space="preserve">, Gaziantep, </w:t>
      </w:r>
      <w:proofErr w:type="spellStart"/>
      <w:r w:rsidRPr="009C3793">
        <w:t>Hatay</w:t>
      </w:r>
      <w:proofErr w:type="spellEnd"/>
      <w:r w:rsidRPr="009C3793">
        <w:t xml:space="preserve">, </w:t>
      </w:r>
      <w:proofErr w:type="spellStart"/>
      <w:r w:rsidRPr="009C3793">
        <w:t>Kahramanmaraş</w:t>
      </w:r>
      <w:proofErr w:type="spellEnd"/>
      <w:r w:rsidRPr="009C3793">
        <w:t xml:space="preserve">, Kilis, Malatya, </w:t>
      </w:r>
      <w:proofErr w:type="spellStart"/>
      <w:r w:rsidRPr="009C3793">
        <w:t>Osmaniye</w:t>
      </w:r>
      <w:proofErr w:type="spellEnd"/>
      <w:r w:rsidRPr="009C3793">
        <w:t xml:space="preserve"> and </w:t>
      </w:r>
      <w:proofErr w:type="spellStart"/>
      <w:r w:rsidRPr="009C3793">
        <w:t>Şanlıurfa</w:t>
      </w:r>
      <w:proofErr w:type="spellEnd"/>
      <w:r w:rsidRPr="009C3793">
        <w:t>.</w:t>
      </w:r>
    </w:p>
  </w:footnote>
  <w:footnote w:id="10">
    <w:p w14:paraId="3BB517E1" w14:textId="1F2EEEA4" w:rsidR="00005F89" w:rsidRPr="00844680" w:rsidRDefault="00005F89" w:rsidP="000D35EC">
      <w:pPr>
        <w:pStyle w:val="FootnoteText"/>
      </w:pPr>
      <w:r w:rsidRPr="00BF158E">
        <w:rPr>
          <w:rStyle w:val="FootnoteReference"/>
          <w:sz w:val="16"/>
          <w:szCs w:val="16"/>
        </w:rPr>
        <w:footnoteRef/>
      </w:r>
      <w:r w:rsidRPr="00844680">
        <w:t xml:space="preserve"> </w:t>
      </w:r>
      <w:r w:rsidRPr="003A723F">
        <w:t xml:space="preserve">These third parties are neither </w:t>
      </w:r>
      <w:r w:rsidRPr="00844680">
        <w:t>affiliated entity(</w:t>
      </w:r>
      <w:proofErr w:type="spellStart"/>
      <w:r w:rsidRPr="00844680">
        <w:t>ies</w:t>
      </w:r>
      <w:proofErr w:type="spellEnd"/>
      <w:r w:rsidRPr="00844680">
        <w:t xml:space="preserve">) </w:t>
      </w:r>
      <w:r>
        <w:t xml:space="preserve">nor </w:t>
      </w:r>
      <w:r w:rsidRPr="003A723F">
        <w:t>associates nor contractors.</w:t>
      </w:r>
    </w:p>
  </w:footnote>
  <w:footnote w:id="11">
    <w:p w14:paraId="2144E68A" w14:textId="77777777" w:rsidR="00005F89" w:rsidRPr="003A723F" w:rsidRDefault="00005F89" w:rsidP="0F90D236">
      <w:pPr>
        <w:pStyle w:val="Text2"/>
        <w:tabs>
          <w:tab w:val="clear" w:pos="2161"/>
          <w:tab w:val="num" w:pos="709"/>
          <w:tab w:val="left" w:pos="1134"/>
        </w:tabs>
        <w:spacing w:after="0"/>
        <w:ind w:left="0"/>
        <w:rPr>
          <w:sz w:val="18"/>
          <w:szCs w:val="18"/>
          <w:lang w:eastAsia="en-GB"/>
        </w:rPr>
      </w:pPr>
      <w:r>
        <w:rPr>
          <w:rStyle w:val="FootnoteReference"/>
        </w:rPr>
        <w:footnoteRef/>
      </w:r>
      <w:r>
        <w:t xml:space="preserve"> </w:t>
      </w:r>
      <w:r w:rsidRPr="0F90D236">
        <w:rPr>
          <w:sz w:val="18"/>
          <w:szCs w:val="18"/>
        </w:rPr>
        <w:t>U</w:t>
      </w:r>
      <w:r w:rsidRPr="0F90D236">
        <w:rPr>
          <w:sz w:val="18"/>
          <w:szCs w:val="18"/>
          <w:lang w:eastAsia="en-GB"/>
        </w:rPr>
        <w:t>nless the following conditions are fulfilled:</w:t>
      </w:r>
    </w:p>
    <w:p w14:paraId="6B4CF1B4" w14:textId="143928AC" w:rsidR="00005F89" w:rsidRPr="00C57669" w:rsidRDefault="00005F89" w:rsidP="65D84291">
      <w:pPr>
        <w:tabs>
          <w:tab w:val="num" w:pos="709"/>
          <w:tab w:val="left" w:pos="1134"/>
        </w:tabs>
        <w:autoSpaceDE w:val="0"/>
        <w:autoSpaceDN w:val="0"/>
        <w:adjustRightInd w:val="0"/>
        <w:spacing w:after="0"/>
        <w:ind w:firstLine="720"/>
        <w:rPr>
          <w:sz w:val="18"/>
          <w:szCs w:val="18"/>
          <w:lang w:eastAsia="en-GB"/>
        </w:rPr>
      </w:pPr>
      <w:r w:rsidRPr="0F90D236">
        <w:rPr>
          <w:sz w:val="18"/>
          <w:szCs w:val="18"/>
          <w:lang w:eastAsia="en-GB"/>
        </w:rPr>
        <w:t>(</w:t>
      </w:r>
      <w:proofErr w:type="spellStart"/>
      <w:r w:rsidRPr="0F90D236">
        <w:rPr>
          <w:sz w:val="18"/>
          <w:szCs w:val="18"/>
          <w:lang w:eastAsia="en-GB"/>
        </w:rPr>
        <w:t>i</w:t>
      </w:r>
      <w:proofErr w:type="spellEnd"/>
      <w:r w:rsidRPr="0F90D236">
        <w:rPr>
          <w:sz w:val="18"/>
          <w:szCs w:val="18"/>
          <w:lang w:eastAsia="en-GB"/>
        </w:rPr>
        <w:t>)</w:t>
      </w:r>
      <w:r w:rsidRPr="003A723F">
        <w:rPr>
          <w:iCs/>
          <w:sz w:val="18"/>
          <w:lang w:eastAsia="en-GB"/>
        </w:rPr>
        <w:tab/>
      </w:r>
      <w:r w:rsidRPr="0F90D236">
        <w:rPr>
          <w:sz w:val="18"/>
          <w:szCs w:val="18"/>
          <w:lang w:eastAsia="en-GB"/>
        </w:rPr>
        <w:t xml:space="preserve">the value added taxes are not recoverable by any means, </w:t>
      </w:r>
      <w:r w:rsidRPr="0F90D236">
        <w:rPr>
          <w:b/>
          <w:bCs/>
          <w:sz w:val="18"/>
          <w:szCs w:val="18"/>
          <w:lang w:eastAsia="en-GB"/>
        </w:rPr>
        <w:t>and</w:t>
      </w:r>
    </w:p>
    <w:p w14:paraId="66A47F33" w14:textId="35D73101" w:rsidR="00005F89" w:rsidRPr="00C57669" w:rsidRDefault="00005F89" w:rsidP="0F90D236">
      <w:pPr>
        <w:tabs>
          <w:tab w:val="num" w:pos="709"/>
          <w:tab w:val="left" w:pos="1134"/>
        </w:tabs>
        <w:autoSpaceDE w:val="0"/>
        <w:autoSpaceDN w:val="0"/>
        <w:adjustRightInd w:val="0"/>
        <w:spacing w:after="0"/>
        <w:ind w:firstLine="720"/>
        <w:rPr>
          <w:sz w:val="18"/>
          <w:szCs w:val="18"/>
          <w:lang w:eastAsia="en-GB"/>
        </w:rPr>
      </w:pPr>
      <w:r w:rsidRPr="0F90D236">
        <w:rPr>
          <w:sz w:val="18"/>
          <w:szCs w:val="18"/>
          <w:lang w:eastAsia="en-GB"/>
        </w:rPr>
        <w:t>(ii)</w:t>
      </w:r>
      <w:r w:rsidRPr="00C57669">
        <w:rPr>
          <w:iCs/>
          <w:sz w:val="18"/>
          <w:szCs w:val="18"/>
          <w:lang w:eastAsia="en-GB"/>
        </w:rPr>
        <w:tab/>
      </w:r>
      <w:r w:rsidRPr="0F90D236">
        <w:rPr>
          <w:sz w:val="18"/>
          <w:szCs w:val="18"/>
          <w:lang w:eastAsia="en-GB"/>
        </w:rPr>
        <w:t xml:space="preserve">it is established that they are borne by the final beneficiary, </w:t>
      </w:r>
      <w:r w:rsidRPr="0F90D236">
        <w:rPr>
          <w:b/>
          <w:bCs/>
          <w:sz w:val="18"/>
          <w:szCs w:val="18"/>
          <w:lang w:eastAsia="en-GB"/>
        </w:rPr>
        <w:t>and</w:t>
      </w:r>
    </w:p>
    <w:p w14:paraId="433A6F72" w14:textId="11DEAAD5" w:rsidR="00005F89" w:rsidRPr="00535BE3" w:rsidRDefault="00005F89" w:rsidP="0F90D236">
      <w:pPr>
        <w:tabs>
          <w:tab w:val="num" w:pos="709"/>
          <w:tab w:val="left" w:pos="1134"/>
        </w:tabs>
        <w:autoSpaceDE w:val="0"/>
        <w:autoSpaceDN w:val="0"/>
        <w:adjustRightInd w:val="0"/>
        <w:spacing w:after="0"/>
        <w:ind w:firstLine="720"/>
        <w:rPr>
          <w:sz w:val="18"/>
          <w:szCs w:val="18"/>
          <w:lang w:val="en-US"/>
        </w:rPr>
      </w:pPr>
      <w:r w:rsidRPr="00535BE3">
        <w:rPr>
          <w:sz w:val="18"/>
          <w:szCs w:val="18"/>
          <w:lang w:eastAsia="en-GB"/>
        </w:rPr>
        <w:t>(iii)</w:t>
      </w:r>
      <w:r w:rsidRPr="00535BE3">
        <w:rPr>
          <w:sz w:val="18"/>
          <w:szCs w:val="18"/>
          <w:lang w:eastAsia="en-GB"/>
        </w:rPr>
        <w:tab/>
        <w:t>they are clearly identified in the project application</w:t>
      </w:r>
      <w:r>
        <w:rPr>
          <w:sz w:val="18"/>
          <w:szCs w:val="18"/>
          <w:lang w:eastAsia="en-GB"/>
        </w:rPr>
        <w:t>.</w:t>
      </w:r>
    </w:p>
  </w:footnote>
  <w:footnote w:id="12">
    <w:p w14:paraId="57245FD0" w14:textId="264C63A1" w:rsidR="00005F89" w:rsidRPr="00DD35D6" w:rsidRDefault="00005F89" w:rsidP="000D35EC">
      <w:pPr>
        <w:pStyle w:val="FootnoteText"/>
      </w:pPr>
      <w:r>
        <w:rPr>
          <w:rStyle w:val="FootnoteReference"/>
        </w:rPr>
        <w:footnoteRef/>
      </w:r>
      <w:r>
        <w:t xml:space="preserve"> </w:t>
      </w:r>
      <w:r w:rsidRPr="004F2540">
        <w:t>It is recommended to use registered mail in case the postmark would not be readable.</w:t>
      </w:r>
    </w:p>
  </w:footnote>
  <w:footnote w:id="13">
    <w:p w14:paraId="2F2CCEC8" w14:textId="77777777" w:rsidR="00005F89" w:rsidRPr="00286739" w:rsidRDefault="00005F89" w:rsidP="000D35EC">
      <w:pPr>
        <w:pStyle w:val="FootnoteText"/>
      </w:pPr>
      <w:r w:rsidRPr="00BF158E">
        <w:rPr>
          <w:rStyle w:val="FootnoteReference"/>
          <w:sz w:val="16"/>
          <w:szCs w:val="16"/>
        </w:rPr>
        <w:footnoteRef/>
      </w:r>
      <w:r w:rsidRPr="00844680">
        <w:t xml:space="preserve"> Natural persons who apply for a grant (if so allowed in the guidelines for applicants) do not have to provide an </w:t>
      </w:r>
      <w:r>
        <w:t>o</w:t>
      </w:r>
      <w:r w:rsidRPr="00844680">
        <w:t xml:space="preserve">rganisation </w:t>
      </w:r>
      <w:r>
        <w:t>d</w:t>
      </w:r>
      <w:r w:rsidRPr="00844680">
        <w:t xml:space="preserve">ata </w:t>
      </w:r>
      <w:r>
        <w:t>f</w:t>
      </w:r>
      <w:r w:rsidRPr="00844680">
        <w:t>orm</w:t>
      </w:r>
      <w:r w:rsidRPr="008E179D">
        <w:t>. In this case, the information included in the grant application form is sufficient.</w:t>
      </w:r>
    </w:p>
  </w:footnote>
  <w:footnote w:id="14">
    <w:p w14:paraId="5A73C5B8" w14:textId="2F505B03" w:rsidR="00005F89" w:rsidRPr="001807CB" w:rsidRDefault="00005F89" w:rsidP="000D35EC">
      <w:pPr>
        <w:pStyle w:val="FootnoteText"/>
      </w:pPr>
      <w:r w:rsidRPr="00BF158E">
        <w:rPr>
          <w:vertAlign w:val="superscript"/>
        </w:rPr>
        <w:footnoteRef/>
      </w:r>
      <w:r w:rsidRPr="00844680">
        <w:t xml:space="preserve"> This obligation does not apply to natural persons who have received </w:t>
      </w:r>
      <w:r>
        <w:t>education support</w:t>
      </w:r>
      <w:r w:rsidRPr="00844680">
        <w:t xml:space="preserve"> or </w:t>
      </w:r>
      <w:r>
        <w:t>who</w:t>
      </w:r>
      <w:r w:rsidRPr="00844680">
        <w:t xml:space="preserve"> are in most need</w:t>
      </w:r>
      <w:r>
        <w:t xml:space="preserve"> or</w:t>
      </w:r>
      <w:r w:rsidRPr="00844680">
        <w:t xml:space="preserve"> in receipt of direct support, nor to public bodies. </w:t>
      </w:r>
    </w:p>
  </w:footnote>
  <w:footnote w:id="15">
    <w:p w14:paraId="1795142C" w14:textId="77777777" w:rsidR="00005F89" w:rsidRPr="00AD46B1" w:rsidRDefault="00005F89" w:rsidP="000D35EC">
      <w:pPr>
        <w:pStyle w:val="FootnoteText"/>
        <w:rPr>
          <w:lang w:val="en-US"/>
        </w:rPr>
      </w:pPr>
      <w:r>
        <w:rPr>
          <w:rStyle w:val="FootnoteReference"/>
        </w:rPr>
        <w:footnoteRef/>
      </w:r>
      <w:r>
        <w:t xml:space="preserve"> </w:t>
      </w:r>
      <w:r w:rsidRPr="00AD46B1">
        <w:t>Lead applicants who did not provide an e-mail address will be informed via post.</w:t>
      </w:r>
    </w:p>
  </w:footnote>
  <w:footnote w:id="16">
    <w:p w14:paraId="35800536" w14:textId="2B919E1B" w:rsidR="00005F89" w:rsidRPr="001677F8" w:rsidRDefault="00005F89" w:rsidP="000D35EC">
      <w:pPr>
        <w:pStyle w:val="FootnoteText"/>
        <w:rPr>
          <w:lang w:val="tr-TR"/>
        </w:rPr>
      </w:pPr>
      <w:r w:rsidRPr="002D36A7">
        <w:rPr>
          <w:rStyle w:val="FootnoteReference"/>
        </w:rPr>
        <w:footnoteRef/>
      </w:r>
      <w:r w:rsidRPr="65D84291">
        <w:t xml:space="preserve"> </w:t>
      </w:r>
      <w:r w:rsidRPr="003A723F">
        <w:t>F</w:t>
      </w:r>
      <w:r>
        <w:t xml:space="preserve">or the purpose of this call, the provinces included in the </w:t>
      </w:r>
      <w:r w:rsidRPr="003A723F">
        <w:t>level 4,</w:t>
      </w:r>
      <w:r>
        <w:t xml:space="preserve"> </w:t>
      </w:r>
      <w:r w:rsidRPr="003A723F">
        <w:t>5,</w:t>
      </w:r>
      <w:r>
        <w:t xml:space="preserve"> </w:t>
      </w:r>
      <w:r w:rsidRPr="003A723F">
        <w:t xml:space="preserve">6 are considered </w:t>
      </w:r>
      <w:r>
        <w:t xml:space="preserve">as </w:t>
      </w:r>
      <w:r w:rsidRPr="003A723F">
        <w:t xml:space="preserve">“less developed regions” </w:t>
      </w:r>
      <w:r>
        <w:t>as described in the socio-economic development index-2017 (SEDI-2017) of the Ministry of Industry and Technology. For more information please visit:</w:t>
      </w:r>
      <w:r w:rsidRPr="003A723F">
        <w:t xml:space="preserve"> </w:t>
      </w:r>
      <w:hyperlink r:id="rId9" w:history="1">
        <w:r>
          <w:rPr>
            <w:rStyle w:val="Hyperlink"/>
          </w:rPr>
          <w:t>https://www.sanayi.gov.tr/merkez-birimi/b94224510b7b/sege</w:t>
        </w:r>
      </w:hyperlink>
    </w:p>
  </w:footnote>
  <w:footnote w:id="17">
    <w:p w14:paraId="4829E2AE" w14:textId="57FA7042" w:rsidR="00005F89" w:rsidRPr="002F310F" w:rsidRDefault="00005F89" w:rsidP="000D35EC">
      <w:pPr>
        <w:pStyle w:val="FootnoteText"/>
      </w:pPr>
      <w:r>
        <w:rPr>
          <w:rStyle w:val="FootnoteReference"/>
        </w:rPr>
        <w:footnoteRef/>
      </w:r>
      <w:r>
        <w:t xml:space="preserve"> </w:t>
      </w:r>
      <w:bookmarkStart w:id="62" w:name="_Hlk144379886"/>
      <w:r>
        <w:rPr>
          <w:sz w:val="18"/>
        </w:rPr>
        <w:t>As per</w:t>
      </w:r>
      <w:r w:rsidRPr="00B6258B">
        <w:rPr>
          <w:sz w:val="18"/>
        </w:rPr>
        <w:t xml:space="preserve"> the </w:t>
      </w:r>
      <w:proofErr w:type="spellStart"/>
      <w:r w:rsidRPr="00B6258B">
        <w:rPr>
          <w:sz w:val="18"/>
          <w:lang w:val="tr-TR"/>
        </w:rPr>
        <w:t>Presidential</w:t>
      </w:r>
      <w:proofErr w:type="spellEnd"/>
      <w:r w:rsidRPr="00B6258B">
        <w:rPr>
          <w:sz w:val="18"/>
          <w:lang w:val="tr-TR"/>
        </w:rPr>
        <w:t xml:space="preserve"> </w:t>
      </w:r>
      <w:proofErr w:type="spellStart"/>
      <w:r w:rsidRPr="00B6258B">
        <w:rPr>
          <w:sz w:val="18"/>
          <w:lang w:val="tr-TR"/>
        </w:rPr>
        <w:t>Decree</w:t>
      </w:r>
      <w:proofErr w:type="spellEnd"/>
      <w:r w:rsidRPr="00B6258B">
        <w:rPr>
          <w:sz w:val="18"/>
          <w:lang w:val="tr-TR"/>
        </w:rPr>
        <w:t xml:space="preserve"> </w:t>
      </w:r>
      <w:r w:rsidRPr="00B6258B">
        <w:rPr>
          <w:sz w:val="18"/>
        </w:rPr>
        <w:t xml:space="preserve">dated </w:t>
      </w:r>
      <w:r>
        <w:rPr>
          <w:sz w:val="18"/>
          <w:lang w:val="tr-TR"/>
        </w:rPr>
        <w:t>08</w:t>
      </w:r>
      <w:r w:rsidRPr="00B6258B">
        <w:rPr>
          <w:sz w:val="18"/>
          <w:lang w:val="tr-TR"/>
        </w:rPr>
        <w:t>.0</w:t>
      </w:r>
      <w:r>
        <w:rPr>
          <w:sz w:val="18"/>
          <w:lang w:val="tr-TR"/>
        </w:rPr>
        <w:t>2</w:t>
      </w:r>
      <w:r w:rsidRPr="00B6258B">
        <w:rPr>
          <w:sz w:val="18"/>
          <w:lang w:val="tr-TR"/>
        </w:rPr>
        <w:t>.2023</w:t>
      </w:r>
      <w:r w:rsidRPr="00B6258B">
        <w:rPr>
          <w:sz w:val="18"/>
        </w:rPr>
        <w:t xml:space="preserve">, </w:t>
      </w:r>
      <w:proofErr w:type="spellStart"/>
      <w:r w:rsidRPr="00484E85">
        <w:rPr>
          <w:lang w:val="tr-TR"/>
        </w:rPr>
        <w:t>the</w:t>
      </w:r>
      <w:proofErr w:type="spellEnd"/>
      <w:r w:rsidRPr="00484E85">
        <w:rPr>
          <w:lang w:val="tr-TR"/>
        </w:rPr>
        <w:t xml:space="preserve"> </w:t>
      </w:r>
      <w:proofErr w:type="spellStart"/>
      <w:r w:rsidRPr="00484E85">
        <w:rPr>
          <w:lang w:val="tr-TR"/>
        </w:rPr>
        <w:t>provinces</w:t>
      </w:r>
      <w:proofErr w:type="spellEnd"/>
      <w:r w:rsidRPr="00484E85">
        <w:rPr>
          <w:lang w:val="tr-TR"/>
        </w:rPr>
        <w:t xml:space="preserve"> </w:t>
      </w:r>
      <w:r>
        <w:rPr>
          <w:lang w:val="tr-TR"/>
        </w:rPr>
        <w:t>of “</w:t>
      </w:r>
      <w:proofErr w:type="spellStart"/>
      <w:r>
        <w:rPr>
          <w:lang w:val="tr-TR"/>
        </w:rPr>
        <w:t>state</w:t>
      </w:r>
      <w:proofErr w:type="spellEnd"/>
      <w:r>
        <w:rPr>
          <w:lang w:val="tr-TR"/>
        </w:rPr>
        <w:t xml:space="preserve"> of </w:t>
      </w:r>
      <w:proofErr w:type="spellStart"/>
      <w:r>
        <w:rPr>
          <w:lang w:val="tr-TR"/>
        </w:rPr>
        <w:t>emergency</w:t>
      </w:r>
      <w:proofErr w:type="spellEnd"/>
      <w:r>
        <w:rPr>
          <w:lang w:val="tr-TR"/>
        </w:rPr>
        <w:t xml:space="preserve">” </w:t>
      </w:r>
      <w:proofErr w:type="spellStart"/>
      <w:r>
        <w:rPr>
          <w:lang w:val="tr-TR"/>
        </w:rPr>
        <w:t>will</w:t>
      </w:r>
      <w:proofErr w:type="spellEnd"/>
      <w:r>
        <w:rPr>
          <w:lang w:val="tr-TR"/>
        </w:rPr>
        <w:t xml:space="preserve"> be</w:t>
      </w:r>
      <w:r w:rsidRPr="00484E85">
        <w:rPr>
          <w:lang w:val="tr-TR"/>
        </w:rPr>
        <w:t xml:space="preserve"> </w:t>
      </w:r>
      <w:proofErr w:type="spellStart"/>
      <w:r>
        <w:rPr>
          <w:lang w:val="tr-TR"/>
        </w:rPr>
        <w:t>considered</w:t>
      </w:r>
      <w:proofErr w:type="spellEnd"/>
      <w:r>
        <w:rPr>
          <w:lang w:val="tr-TR"/>
        </w:rPr>
        <w:t xml:space="preserve"> as “</w:t>
      </w:r>
      <w:proofErr w:type="spellStart"/>
      <w:r>
        <w:rPr>
          <w:lang w:val="tr-TR"/>
        </w:rPr>
        <w:t>significantly</w:t>
      </w:r>
      <w:proofErr w:type="spellEnd"/>
      <w:r>
        <w:rPr>
          <w:lang w:val="tr-TR"/>
        </w:rPr>
        <w:t xml:space="preserve"> </w:t>
      </w:r>
      <w:proofErr w:type="spellStart"/>
      <w:r>
        <w:rPr>
          <w:lang w:val="tr-TR"/>
        </w:rPr>
        <w:t>affected</w:t>
      </w:r>
      <w:proofErr w:type="spellEnd"/>
      <w:r>
        <w:rPr>
          <w:lang w:val="tr-TR"/>
        </w:rPr>
        <w:t xml:space="preserve"> </w:t>
      </w:r>
      <w:proofErr w:type="spellStart"/>
      <w:r>
        <w:rPr>
          <w:lang w:val="tr-TR"/>
        </w:rPr>
        <w:t>provinces</w:t>
      </w:r>
      <w:proofErr w:type="spellEnd"/>
      <w:r>
        <w:rPr>
          <w:lang w:val="tr-TR"/>
        </w:rPr>
        <w:t xml:space="preserve">” </w:t>
      </w:r>
      <w:proofErr w:type="spellStart"/>
      <w:r>
        <w:rPr>
          <w:lang w:val="tr-TR"/>
        </w:rPr>
        <w:t>for</w:t>
      </w:r>
      <w:proofErr w:type="spellEnd"/>
      <w:r>
        <w:rPr>
          <w:lang w:val="tr-TR"/>
        </w:rPr>
        <w:t xml:space="preserve"> </w:t>
      </w:r>
      <w:proofErr w:type="spellStart"/>
      <w:r>
        <w:rPr>
          <w:lang w:val="tr-TR"/>
        </w:rPr>
        <w:t>the</w:t>
      </w:r>
      <w:proofErr w:type="spellEnd"/>
      <w:r>
        <w:rPr>
          <w:lang w:val="tr-TR"/>
        </w:rPr>
        <w:t xml:space="preserve"> </w:t>
      </w:r>
      <w:proofErr w:type="spellStart"/>
      <w:r>
        <w:rPr>
          <w:lang w:val="tr-TR"/>
        </w:rPr>
        <w:t>purpose</w:t>
      </w:r>
      <w:proofErr w:type="spellEnd"/>
      <w:r>
        <w:rPr>
          <w:lang w:val="tr-TR"/>
        </w:rPr>
        <w:t xml:space="preserve"> of </w:t>
      </w:r>
      <w:proofErr w:type="spellStart"/>
      <w:r>
        <w:rPr>
          <w:lang w:val="tr-TR"/>
        </w:rPr>
        <w:t>this</w:t>
      </w:r>
      <w:proofErr w:type="spellEnd"/>
      <w:r>
        <w:rPr>
          <w:lang w:val="tr-TR"/>
        </w:rPr>
        <w:t xml:space="preserve"> </w:t>
      </w:r>
      <w:proofErr w:type="spellStart"/>
      <w:r>
        <w:rPr>
          <w:lang w:val="tr-TR"/>
        </w:rPr>
        <w:t>call</w:t>
      </w:r>
      <w:proofErr w:type="spellEnd"/>
      <w:r>
        <w:rPr>
          <w:lang w:val="tr-TR"/>
        </w:rPr>
        <w:t xml:space="preserve">; </w:t>
      </w:r>
      <w:proofErr w:type="spellStart"/>
      <w:r>
        <w:rPr>
          <w:lang w:val="tr-TR"/>
        </w:rPr>
        <w:t>namely</w:t>
      </w:r>
      <w:proofErr w:type="spellEnd"/>
      <w:r w:rsidRPr="00B6258B">
        <w:rPr>
          <w:sz w:val="18"/>
        </w:rPr>
        <w:t xml:space="preserve">: Adana, </w:t>
      </w:r>
      <w:r w:rsidRPr="00B6258B">
        <w:rPr>
          <w:sz w:val="18"/>
          <w:lang w:val="tr-TR"/>
        </w:rPr>
        <w:t>Adıyaman, Diyarbakır, Gaziantep, Hatay, Kahramanmaraş, Kilis, Malatya, Osmaniye</w:t>
      </w:r>
      <w:r>
        <w:rPr>
          <w:sz w:val="18"/>
          <w:lang w:val="tr-TR"/>
        </w:rPr>
        <w:t xml:space="preserve"> </w:t>
      </w:r>
      <w:proofErr w:type="spellStart"/>
      <w:r>
        <w:rPr>
          <w:sz w:val="18"/>
          <w:lang w:val="tr-TR"/>
        </w:rPr>
        <w:t>and</w:t>
      </w:r>
      <w:proofErr w:type="spellEnd"/>
      <w:r w:rsidRPr="00B6258B">
        <w:rPr>
          <w:sz w:val="18"/>
          <w:lang w:val="tr-TR"/>
        </w:rPr>
        <w:t xml:space="preserve"> Şanlıurfa</w:t>
      </w:r>
      <w:r>
        <w:rPr>
          <w:sz w:val="18"/>
          <w:lang w:val="tr-TR"/>
        </w:rPr>
        <w:t>.</w:t>
      </w:r>
      <w:bookmarkEnd w:id="62"/>
    </w:p>
  </w:footnote>
  <w:footnote w:id="18">
    <w:p w14:paraId="288C4F45" w14:textId="77777777" w:rsidR="00005F89" w:rsidRPr="001677F8" w:rsidRDefault="00005F89" w:rsidP="000D35EC">
      <w:pPr>
        <w:pStyle w:val="FootnoteText"/>
        <w:rPr>
          <w:lang w:val="tr-TR"/>
        </w:rPr>
      </w:pPr>
      <w:r w:rsidRPr="002D36A7">
        <w:rPr>
          <w:rStyle w:val="FootnoteReference"/>
        </w:rPr>
        <w:footnoteRef/>
      </w:r>
      <w:r w:rsidRPr="65D84291">
        <w:t xml:space="preserve"> </w:t>
      </w:r>
      <w:proofErr w:type="spellStart"/>
      <w:r>
        <w:rPr>
          <w:lang w:val="tr-TR"/>
        </w:rPr>
        <w:t>Please</w:t>
      </w:r>
      <w:proofErr w:type="spellEnd"/>
      <w:r>
        <w:rPr>
          <w:lang w:val="tr-TR"/>
        </w:rPr>
        <w:t xml:space="preserve"> </w:t>
      </w:r>
      <w:proofErr w:type="spellStart"/>
      <w:r>
        <w:rPr>
          <w:lang w:val="tr-TR"/>
        </w:rPr>
        <w:t>see</w:t>
      </w:r>
      <w:proofErr w:type="spellEnd"/>
      <w:r>
        <w:rPr>
          <w:lang w:val="tr-TR"/>
        </w:rPr>
        <w:t xml:space="preserve"> </w:t>
      </w:r>
      <w:proofErr w:type="spellStart"/>
      <w:r>
        <w:rPr>
          <w:lang w:val="tr-TR"/>
        </w:rPr>
        <w:t>footnote</w:t>
      </w:r>
      <w:proofErr w:type="spellEnd"/>
      <w:r>
        <w:rPr>
          <w:lang w:val="tr-TR"/>
        </w:rPr>
        <w:t xml:space="preserve"> 15.</w:t>
      </w:r>
    </w:p>
  </w:footnote>
  <w:footnote w:id="19">
    <w:p w14:paraId="29C9BF6B" w14:textId="77777777" w:rsidR="00005F89" w:rsidRPr="001677F8" w:rsidRDefault="00005F89" w:rsidP="000D35EC">
      <w:pPr>
        <w:pStyle w:val="FootnoteText"/>
        <w:rPr>
          <w:lang w:val="tr-TR"/>
        </w:rPr>
      </w:pPr>
      <w:r w:rsidRPr="002D36A7">
        <w:rPr>
          <w:rStyle w:val="FootnoteReference"/>
        </w:rPr>
        <w:footnoteRef/>
      </w:r>
      <w:r w:rsidRPr="65D84291">
        <w:t xml:space="preserve"> </w:t>
      </w:r>
      <w:proofErr w:type="spellStart"/>
      <w:r>
        <w:rPr>
          <w:lang w:val="tr-TR"/>
        </w:rPr>
        <w:t>Please</w:t>
      </w:r>
      <w:proofErr w:type="spellEnd"/>
      <w:r>
        <w:rPr>
          <w:lang w:val="tr-TR"/>
        </w:rPr>
        <w:t xml:space="preserve"> </w:t>
      </w:r>
      <w:proofErr w:type="spellStart"/>
      <w:r>
        <w:rPr>
          <w:lang w:val="tr-TR"/>
        </w:rPr>
        <w:t>see</w:t>
      </w:r>
      <w:proofErr w:type="spellEnd"/>
      <w:r>
        <w:rPr>
          <w:lang w:val="tr-TR"/>
        </w:rPr>
        <w:t xml:space="preserve"> </w:t>
      </w:r>
      <w:proofErr w:type="spellStart"/>
      <w:r>
        <w:rPr>
          <w:lang w:val="tr-TR"/>
        </w:rPr>
        <w:t>footnote</w:t>
      </w:r>
      <w:proofErr w:type="spellEnd"/>
      <w:r>
        <w:rPr>
          <w:lang w:val="tr-TR"/>
        </w:rPr>
        <w:t xml:space="preserve"> 16.</w:t>
      </w:r>
    </w:p>
  </w:footnote>
  <w:footnote w:id="20">
    <w:p w14:paraId="3F6F969F" w14:textId="77777777" w:rsidR="00005F89" w:rsidRPr="00AD46B1" w:rsidRDefault="00005F89" w:rsidP="000D35EC">
      <w:pPr>
        <w:pStyle w:val="FootnoteText"/>
        <w:rPr>
          <w:lang w:val="en-US"/>
        </w:rPr>
      </w:pPr>
      <w:r>
        <w:rPr>
          <w:rStyle w:val="FootnoteReference"/>
        </w:rPr>
        <w:footnoteRef/>
      </w:r>
      <w:r>
        <w:t xml:space="preserve"> </w:t>
      </w:r>
      <w:r w:rsidRPr="008C58D2">
        <w:t>Lead applicants who did not provide an e-mail address will be informed via post.</w:t>
      </w:r>
    </w:p>
  </w:footnote>
  <w:footnote w:id="21">
    <w:p w14:paraId="0750E473" w14:textId="492BBC2D" w:rsidR="00005F89" w:rsidRPr="00AD46B1" w:rsidRDefault="00005F89" w:rsidP="000D35EC">
      <w:pPr>
        <w:pStyle w:val="FootnoteText"/>
        <w:rPr>
          <w:lang w:val="en-US"/>
        </w:rPr>
      </w:pPr>
      <w:r>
        <w:rPr>
          <w:rStyle w:val="FootnoteReference"/>
        </w:rPr>
        <w:footnoteRef/>
      </w:r>
      <w:r>
        <w:t xml:space="preserve"> </w:t>
      </w:r>
      <w:r w:rsidRPr="00AD46B1">
        <w:t>Lead applicants who did not provide an e-mail address will be informed via post.</w:t>
      </w:r>
    </w:p>
  </w:footnote>
  <w:footnote w:id="22">
    <w:p w14:paraId="7F0D7AAE" w14:textId="77777777" w:rsidR="00005F89" w:rsidRPr="00F252A3" w:rsidRDefault="00005F89" w:rsidP="000D35EC">
      <w:pPr>
        <w:pStyle w:val="FootnoteText"/>
      </w:pPr>
      <w:r>
        <w:rPr>
          <w:rStyle w:val="FootnoteReference"/>
        </w:rPr>
        <w:footnoteRef/>
      </w:r>
      <w:r w:rsidRPr="65D84291">
        <w:t xml:space="preserve"> </w:t>
      </w:r>
      <w:r w:rsidRPr="00B75373">
        <w:t>Please note that only the QES within the meaning of Regulation (EU) No 910/2014 (</w:t>
      </w:r>
      <w:proofErr w:type="spellStart"/>
      <w:r w:rsidRPr="00B75373">
        <w:t>eIDAS</w:t>
      </w:r>
      <w:proofErr w:type="spellEnd"/>
      <w:r w:rsidRPr="00B75373">
        <w:t xml:space="preserve"> Regulation) will be accepted</w:t>
      </w:r>
      <w:r w:rsidRPr="65D84291">
        <w:t xml:space="preserve">. </w:t>
      </w:r>
      <w:r w:rsidRPr="00FF5E44">
        <w:rPr>
          <w:lang w:val="en-IE"/>
        </w:rPr>
        <w:t>Regulation (EU) No 910/2014 of the European Parliament and of the Council of 23 July 2014 on electronic identification and trust services for electronic transactions in the internal market and repealing Directive 1999/93/EC.</w:t>
      </w:r>
    </w:p>
  </w:footnote>
  <w:footnote w:id="23">
    <w:p w14:paraId="43285A19" w14:textId="6B7BFFE3" w:rsidR="00005F89" w:rsidRPr="007110C4" w:rsidRDefault="00005F89" w:rsidP="00DB255E">
      <w:pPr>
        <w:pStyle w:val="CommentText"/>
      </w:pPr>
      <w:r>
        <w:rPr>
          <w:rStyle w:val="FootnoteReference"/>
        </w:rPr>
        <w:footnoteRef/>
      </w:r>
      <w:r>
        <w:t xml:space="preserve"> Applicants, </w:t>
      </w:r>
      <w:r w:rsidRPr="00F35EBC">
        <w:t xml:space="preserve">co-applicants </w:t>
      </w:r>
      <w:r>
        <w:t xml:space="preserve">and affiliated entities who are </w:t>
      </w:r>
      <w:r w:rsidRPr="65D84291">
        <w:t>(</w:t>
      </w:r>
      <w:proofErr w:type="spellStart"/>
      <w:r w:rsidRPr="00F35EBC">
        <w:t>i</w:t>
      </w:r>
      <w:proofErr w:type="spellEnd"/>
      <w:r w:rsidRPr="00F35EBC">
        <w:t>) natural persons (ii) pillar-assessed entities and (iii) governments and other public bodies</w:t>
      </w:r>
      <w:r>
        <w:t xml:space="preserve"> do not have to submit the self-evaluation questionnaire.</w:t>
      </w:r>
    </w:p>
  </w:footnote>
  <w:footnote w:id="24">
    <w:p w14:paraId="30F81108" w14:textId="77777777" w:rsidR="00005F89" w:rsidRPr="00AD46B1" w:rsidRDefault="00005F89" w:rsidP="000D35EC">
      <w:pPr>
        <w:pStyle w:val="FootnoteText"/>
        <w:rPr>
          <w:lang w:val="en-US"/>
        </w:rPr>
      </w:pPr>
      <w:r>
        <w:rPr>
          <w:rStyle w:val="FootnoteReference"/>
        </w:rPr>
        <w:footnoteRef/>
      </w:r>
      <w:r>
        <w:t xml:space="preserve"> </w:t>
      </w:r>
      <w:r w:rsidRPr="00AD46B1">
        <w:t>Lead applicants who did not provide an e-mail address will be informed via post.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AFCEC" w14:textId="5EE5292B" w:rsidR="00005F89" w:rsidRPr="002A4909" w:rsidRDefault="00005F89" w:rsidP="0783902A">
    <w:pPr>
      <w:pStyle w:val="Header"/>
      <w:jc w:val="center"/>
      <w:rPr>
        <w:i/>
        <w:iCs/>
      </w:rPr>
    </w:pPr>
    <w:r w:rsidRPr="0783902A">
      <w:rPr>
        <w:i/>
        <w:iCs/>
      </w:rPr>
      <w:t>Grant Scheme for Türkiye-EU Business Dialogue II (TEBD-II)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12185" w14:textId="515FF61D" w:rsidR="00005F89" w:rsidRPr="00F027AC" w:rsidRDefault="00005F89" w:rsidP="00C57AF5">
    <w:pPr>
      <w:pStyle w:val="Header"/>
      <w:jc w:val="center"/>
      <w:rPr>
        <w:i/>
        <w:iCs/>
      </w:rPr>
    </w:pPr>
    <w:r w:rsidRPr="0783902A">
      <w:rPr>
        <w:i/>
        <w:iCs/>
      </w:rPr>
      <w:t xml:space="preserve">Grant Scheme for </w:t>
    </w:r>
    <w:proofErr w:type="spellStart"/>
    <w:r w:rsidRPr="0783902A">
      <w:rPr>
        <w:i/>
        <w:iCs/>
      </w:rPr>
      <w:t>Türkiye</w:t>
    </w:r>
    <w:proofErr w:type="spellEnd"/>
    <w:r w:rsidRPr="0783902A">
      <w:rPr>
        <w:i/>
        <w:iCs/>
      </w:rPr>
      <w:t>-EU Business Dialogue II (TEBD-II)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EFFB4" w14:textId="608363E0" w:rsidR="00005F89" w:rsidRPr="009C3793" w:rsidRDefault="00005F89" w:rsidP="00C57AF5">
    <w:pPr>
      <w:pStyle w:val="Header"/>
      <w:jc w:val="center"/>
      <w:rPr>
        <w:i/>
        <w:iCs/>
      </w:rPr>
    </w:pPr>
    <w:r w:rsidRPr="0783902A">
      <w:rPr>
        <w:i/>
        <w:iCs/>
      </w:rPr>
      <w:t xml:space="preserve">Grant Scheme for </w:t>
    </w:r>
    <w:proofErr w:type="spellStart"/>
    <w:r w:rsidRPr="0783902A">
      <w:rPr>
        <w:i/>
        <w:iCs/>
      </w:rPr>
      <w:t>Türkiye</w:t>
    </w:r>
    <w:proofErr w:type="spellEnd"/>
    <w:r w:rsidRPr="0783902A">
      <w:rPr>
        <w:i/>
        <w:iCs/>
      </w:rPr>
      <w:t>-EU Business Dialogue II (TEBD-II)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EEC3A5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CDA1CA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CA741C"/>
    <w:lvl w:ilvl="0">
      <w:start w:val="1"/>
      <w:numFmt w:val="decimal"/>
      <w:lvlText w:val="%1."/>
      <w:lvlJc w:val="left"/>
      <w:pPr>
        <w:tabs>
          <w:tab w:val="num" w:pos="1080"/>
        </w:tabs>
        <w:ind w:left="1080" w:hanging="360"/>
      </w:pPr>
    </w:lvl>
  </w:abstractNum>
  <w:abstractNum w:abstractNumId="3"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1"/>
    <w:multiLevelType w:val="singleLevel"/>
    <w:tmpl w:val="A5B47D16"/>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E5D602BE"/>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14EE500"/>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2416B068"/>
    <w:lvl w:ilvl="0">
      <w:start w:val="1"/>
      <w:numFmt w:val="decimal"/>
      <w:lvlText w:val="%1."/>
      <w:lvlJc w:val="left"/>
      <w:pPr>
        <w:tabs>
          <w:tab w:val="num" w:pos="360"/>
        </w:tabs>
        <w:ind w:left="360" w:hanging="360"/>
      </w:pPr>
    </w:lvl>
  </w:abstractNum>
  <w:abstractNum w:abstractNumId="8" w15:restartNumberingAfterBreak="0">
    <w:nsid w:val="01652CCC"/>
    <w:multiLevelType w:val="multilevel"/>
    <w:tmpl w:val="73308E7A"/>
    <w:lvl w:ilvl="0">
      <w:start w:val="1"/>
      <w:numFmt w:val="decimal"/>
      <w:lvlText w:val="%1."/>
      <w:lvlJc w:val="left"/>
      <w:rPr>
        <w:rFonts w:ascii="Times New Roman Bold" w:hAnsi="Times New Roman Bold"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ascii="Times New Roman Bold" w:hAnsi="Times New Roman Bold"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rFonts w:ascii="Times New Roman Bold" w:hAnsi="Times New Roman Bold" w:hint="default"/>
        <w:b/>
        <w:i/>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ind w:left="567" w:hanging="567"/>
      </w:pPr>
      <w:rPr>
        <w:rFonts w:hint="default"/>
      </w:rPr>
    </w:lvl>
    <w:lvl w:ilvl="4">
      <w:start w:val="1"/>
      <w:numFmt w:val="decimal"/>
      <w:isLgl/>
      <w:lvlText w:val="%1.%2.%3.%4.%5"/>
      <w:lvlJc w:val="left"/>
      <w:pPr>
        <w:ind w:left="567" w:hanging="567"/>
      </w:pPr>
      <w:rPr>
        <w:rFonts w:hint="default"/>
      </w:rPr>
    </w:lvl>
    <w:lvl w:ilvl="5">
      <w:start w:val="1"/>
      <w:numFmt w:val="decimal"/>
      <w:isLgl/>
      <w:lvlText w:val="%1.%2.%3.%4.%5.%6"/>
      <w:lvlJc w:val="left"/>
      <w:pPr>
        <w:ind w:left="567" w:hanging="567"/>
      </w:pPr>
      <w:rPr>
        <w:rFonts w:hint="default"/>
      </w:rPr>
    </w:lvl>
    <w:lvl w:ilvl="6">
      <w:start w:val="1"/>
      <w:numFmt w:val="decimal"/>
      <w:isLgl/>
      <w:lvlText w:val="%1.%2.%3.%4.%5.%6.%7"/>
      <w:lvlJc w:val="left"/>
      <w:pPr>
        <w:ind w:left="567" w:hanging="567"/>
      </w:pPr>
      <w:rPr>
        <w:rFonts w:hint="default"/>
      </w:rPr>
    </w:lvl>
    <w:lvl w:ilvl="7">
      <w:start w:val="1"/>
      <w:numFmt w:val="decimal"/>
      <w:isLgl/>
      <w:lvlText w:val="%1.%2.%3.%4.%5.%6.%7.%8"/>
      <w:lvlJc w:val="left"/>
      <w:pPr>
        <w:ind w:left="567" w:hanging="567"/>
      </w:pPr>
      <w:rPr>
        <w:rFonts w:hint="default"/>
      </w:rPr>
    </w:lvl>
    <w:lvl w:ilvl="8">
      <w:start w:val="1"/>
      <w:numFmt w:val="decimal"/>
      <w:isLgl/>
      <w:lvlText w:val="%1.%2.%3.%4.%5.%6.%7.%8.%9"/>
      <w:lvlJc w:val="left"/>
      <w:pPr>
        <w:ind w:left="567" w:hanging="567"/>
      </w:pPr>
      <w:rPr>
        <w:rFonts w:hint="default"/>
      </w:rPr>
    </w:lvl>
  </w:abstractNum>
  <w:abstractNum w:abstractNumId="9" w15:restartNumberingAfterBreak="0">
    <w:nsid w:val="02DB45E0"/>
    <w:multiLevelType w:val="multilevel"/>
    <w:tmpl w:val="EFAC474E"/>
    <w:lvl w:ilvl="0">
      <w:start w:val="1"/>
      <w:numFmt w:val="bullet"/>
      <w:lvlText w:val="–"/>
      <w:lvlJc w:val="left"/>
      <w:pPr>
        <w:tabs>
          <w:tab w:val="num" w:pos="283"/>
        </w:tabs>
        <w:ind w:left="283" w:hanging="283"/>
      </w:pPr>
      <w:rPr>
        <w:rFonts w:ascii="Times New Roman" w:hAnsi="Times New Roma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030467A7"/>
    <w:multiLevelType w:val="multilevel"/>
    <w:tmpl w:val="583EAE98"/>
    <w:lvl w:ilvl="0">
      <w:start w:val="1"/>
      <w:numFmt w:val="decimal"/>
      <w:pStyle w:val="Application2"/>
      <w:lvlText w:val="%1."/>
      <w:lvlJc w:val="left"/>
      <w:pPr>
        <w:ind w:left="482" w:hanging="480"/>
      </w:pPr>
    </w:lvl>
    <w:lvl w:ilvl="1">
      <w:start w:val="1"/>
      <w:numFmt w:val="decimal"/>
      <w:lvlText w:val="%1.%2."/>
      <w:lvlJc w:val="left"/>
      <w:pPr>
        <w:ind w:left="1202" w:hanging="720"/>
      </w:pPr>
    </w:lvl>
    <w:lvl w:ilvl="2">
      <w:start w:val="1"/>
      <w:numFmt w:val="decimal"/>
      <w:lvlText w:val="%1.%2.%3."/>
      <w:lvlJc w:val="left"/>
      <w:pPr>
        <w:ind w:left="1984" w:hanging="720"/>
      </w:pPr>
    </w:lvl>
    <w:lvl w:ilvl="3">
      <w:start w:val="1"/>
      <w:numFmt w:val="decimal"/>
      <w:lvlText w:val="%1.%2.%3.%4."/>
      <w:lvlJc w:val="left"/>
      <w:pPr>
        <w:ind w:left="1984" w:hanging="720"/>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071739D2"/>
    <w:multiLevelType w:val="multilevel"/>
    <w:tmpl w:val="B79EBA66"/>
    <w:lvl w:ilvl="0">
      <w:start w:val="1"/>
      <w:numFmt w:val="decimal"/>
      <w:lvlText w:val="%1."/>
      <w:lvlJc w:val="left"/>
      <w:pPr>
        <w:tabs>
          <w:tab w:val="num" w:pos="360"/>
        </w:tabs>
        <w:ind w:left="360" w:hanging="360"/>
      </w:pPr>
    </w:lvl>
    <w:lvl w:ilvl="1">
      <w:numFmt w:val="decimal"/>
      <w:pStyle w:val="Heading5"/>
      <w:lvlText w:val=""/>
      <w:lvlJc w:val="left"/>
    </w:lvl>
    <w:lvl w:ilvl="2">
      <w:numFmt w:val="decimal"/>
      <w:pStyle w:val="Heading6"/>
      <w:lvlText w:val=""/>
      <w:lvlJc w:val="left"/>
    </w:lvl>
    <w:lvl w:ilvl="3">
      <w:numFmt w:val="decimal"/>
      <w:lvlText w:val=""/>
      <w:lvlJc w:val="left"/>
    </w:lvl>
    <w:lvl w:ilvl="4">
      <w:numFmt w:val="decimal"/>
      <w:lvlText w:val=""/>
      <w:lvlJc w:val="left"/>
    </w:lvl>
    <w:lvl w:ilvl="5">
      <w:numFmt w:val="decimal"/>
      <w:lvlText w:val=""/>
      <w:lvlJc w:val="left"/>
    </w:lvl>
    <w:lvl w:ilvl="6">
      <w:numFmt w:val="decimal"/>
      <w:pStyle w:val="Heading7"/>
      <w:lvlText w:val=""/>
      <w:lvlJc w:val="left"/>
    </w:lvl>
    <w:lvl w:ilvl="7">
      <w:numFmt w:val="decimal"/>
      <w:pStyle w:val="Heading8"/>
      <w:lvlText w:val=""/>
      <w:lvlJc w:val="left"/>
    </w:lvl>
    <w:lvl w:ilvl="8">
      <w:numFmt w:val="decimal"/>
      <w:pStyle w:val="Heading9"/>
      <w:lvlText w:val=""/>
      <w:lvlJc w:val="left"/>
    </w:lvl>
  </w:abstractNum>
  <w:abstractNum w:abstractNumId="12" w15:restartNumberingAfterBreak="0">
    <w:nsid w:val="0AF8742D"/>
    <w:multiLevelType w:val="hybridMultilevel"/>
    <w:tmpl w:val="6FFEC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F5007C"/>
    <w:multiLevelType w:val="hybridMultilevel"/>
    <w:tmpl w:val="41C6ABCE"/>
    <w:lvl w:ilvl="0" w:tplc="54F23AA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6660496"/>
    <w:multiLevelType w:val="hybridMultilevel"/>
    <w:tmpl w:val="2D545A5C"/>
    <w:lvl w:ilvl="0" w:tplc="0C000001">
      <w:start w:val="1"/>
      <w:numFmt w:val="bullet"/>
      <w:lvlText w:val=""/>
      <w:lvlJc w:val="left"/>
      <w:pPr>
        <w:ind w:left="1080" w:hanging="72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5" w15:restartNumberingAfterBreak="0">
    <w:nsid w:val="168A5C2F"/>
    <w:multiLevelType w:val="hybridMultilevel"/>
    <w:tmpl w:val="6650A4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AB95526"/>
    <w:multiLevelType w:val="hybridMultilevel"/>
    <w:tmpl w:val="982A1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CEA67B4"/>
    <w:multiLevelType w:val="hybridMultilevel"/>
    <w:tmpl w:val="80E2F06C"/>
    <w:lvl w:ilvl="0" w:tplc="0C000001">
      <w:start w:val="1"/>
      <w:numFmt w:val="bullet"/>
      <w:lvlText w:val=""/>
      <w:lvlJc w:val="left"/>
      <w:pPr>
        <w:ind w:left="1080" w:hanging="360"/>
      </w:pPr>
      <w:rPr>
        <w:rFonts w:ascii="Symbol" w:hAnsi="Symbol"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19" w15:restartNumberingAfterBreak="0">
    <w:nsid w:val="1DEE6108"/>
    <w:multiLevelType w:val="hybridMultilevel"/>
    <w:tmpl w:val="7BE46FD2"/>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ECB0D24"/>
    <w:multiLevelType w:val="hybridMultilevel"/>
    <w:tmpl w:val="83F23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F7B6AF3"/>
    <w:multiLevelType w:val="multilevel"/>
    <w:tmpl w:val="2A181DBC"/>
    <w:lvl w:ilvl="0">
      <w:start w:val="1"/>
      <w:numFmt w:val="bullet"/>
      <w:lvlText w:val="–"/>
      <w:lvlJc w:val="left"/>
      <w:pPr>
        <w:tabs>
          <w:tab w:val="num" w:pos="283"/>
        </w:tabs>
        <w:ind w:left="283" w:hanging="283"/>
      </w:pPr>
      <w:rPr>
        <w:rFonts w:ascii="Times New Roman" w:hAnsi="Times New Roma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20C9714B"/>
    <w:multiLevelType w:val="hybridMultilevel"/>
    <w:tmpl w:val="50E4CB08"/>
    <w:lvl w:ilvl="0" w:tplc="7D2EBD62">
      <w:start w:val="1"/>
      <w:numFmt w:val="bullet"/>
      <w:lvlText w:val=""/>
      <w:lvlJc w:val="left"/>
      <w:pPr>
        <w:tabs>
          <w:tab w:val="num" w:pos="720"/>
        </w:tabs>
        <w:ind w:left="72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11906EF"/>
    <w:multiLevelType w:val="hybridMultilevel"/>
    <w:tmpl w:val="6650A4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64A1798"/>
    <w:multiLevelType w:val="hybridMultilevel"/>
    <w:tmpl w:val="19EA99E4"/>
    <w:lvl w:ilvl="0" w:tplc="CCAEE03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2AA94154"/>
    <w:multiLevelType w:val="hybridMultilevel"/>
    <w:tmpl w:val="D82A3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CA0292A"/>
    <w:multiLevelType w:val="hybridMultilevel"/>
    <w:tmpl w:val="C5F26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2BC1520"/>
    <w:multiLevelType w:val="hybridMultilevel"/>
    <w:tmpl w:val="0B9EE7A4"/>
    <w:lvl w:ilvl="0" w:tplc="2870DD1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9" w15:restartNumberingAfterBreak="0">
    <w:nsid w:val="34E03117"/>
    <w:multiLevelType w:val="multilevel"/>
    <w:tmpl w:val="132E2DF2"/>
    <w:lvl w:ilvl="0">
      <w:start w:val="3"/>
      <w:numFmt w:val="decimal"/>
      <w:pStyle w:val="ListBullet5"/>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35D27724"/>
    <w:multiLevelType w:val="hybridMultilevel"/>
    <w:tmpl w:val="99CCCE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7154E8B"/>
    <w:multiLevelType w:val="hybridMultilevel"/>
    <w:tmpl w:val="B314977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8C47C02"/>
    <w:multiLevelType w:val="hybridMultilevel"/>
    <w:tmpl w:val="960235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A9B0BF1"/>
    <w:multiLevelType w:val="multilevel"/>
    <w:tmpl w:val="1E26F45A"/>
    <w:lvl w:ilvl="0">
      <w:start w:val="1"/>
      <w:numFmt w:val="decimal"/>
      <w:pStyle w:val="Guidelines1"/>
      <w:lvlText w:val="%1."/>
      <w:lvlJc w:val="left"/>
      <w:pPr>
        <w:ind w:left="720" w:hanging="360"/>
      </w:pPr>
      <w:rPr>
        <w:rFonts w:hint="default"/>
      </w:rPr>
    </w:lvl>
    <w:lvl w:ilvl="1">
      <w:start w:val="1"/>
      <w:numFmt w:val="decimal"/>
      <w:pStyle w:val="Guidelines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C6F2EDE"/>
    <w:multiLevelType w:val="hybridMultilevel"/>
    <w:tmpl w:val="863AF492"/>
    <w:lvl w:ilvl="0" w:tplc="0FFED1AE">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09B3BCD"/>
    <w:multiLevelType w:val="hybridMultilevel"/>
    <w:tmpl w:val="57C216AC"/>
    <w:lvl w:ilvl="0" w:tplc="208620E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25047BB"/>
    <w:multiLevelType w:val="hybridMultilevel"/>
    <w:tmpl w:val="3BF22B58"/>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8" w15:restartNumberingAfterBreak="0">
    <w:nsid w:val="4662666B"/>
    <w:multiLevelType w:val="hybridMultilevel"/>
    <w:tmpl w:val="BB88C9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7D322C2"/>
    <w:multiLevelType w:val="hybridMultilevel"/>
    <w:tmpl w:val="40CE89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8E07C53"/>
    <w:multiLevelType w:val="multilevel"/>
    <w:tmpl w:val="30E670AA"/>
    <w:lvl w:ilvl="0">
      <w:start w:val="1"/>
      <w:numFmt w:val="bullet"/>
      <w:lvlText w:val="–"/>
      <w:lvlJc w:val="left"/>
      <w:pPr>
        <w:tabs>
          <w:tab w:val="num" w:pos="283"/>
        </w:tabs>
        <w:ind w:left="283" w:hanging="283"/>
      </w:pPr>
      <w:rPr>
        <w:rFonts w:ascii="Times New Roman" w:hAnsi="Times New Roma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15:restartNumberingAfterBreak="0">
    <w:nsid w:val="4970064D"/>
    <w:multiLevelType w:val="multilevel"/>
    <w:tmpl w:val="235869C4"/>
    <w:lvl w:ilvl="0">
      <w:start w:val="1"/>
      <w:numFmt w:val="decimal"/>
      <w:pStyle w:val="Application3"/>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B181584"/>
    <w:multiLevelType w:val="hybridMultilevel"/>
    <w:tmpl w:val="47561516"/>
    <w:lvl w:ilvl="0" w:tplc="513251FA">
      <w:start w:val="16"/>
      <w:numFmt w:val="bullet"/>
      <w:lvlText w:val="•"/>
      <w:lvlJc w:val="left"/>
      <w:pPr>
        <w:ind w:left="1080" w:hanging="360"/>
      </w:pPr>
      <w:rPr>
        <w:rFonts w:ascii="Times New Roman" w:eastAsia="Times New Roman" w:hAnsi="Times New Roman" w:cs="Times New Roman" w:hint="default"/>
        <w:sz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4BD44FBD"/>
    <w:multiLevelType w:val="hybridMultilevel"/>
    <w:tmpl w:val="4A12FD18"/>
    <w:lvl w:ilvl="0" w:tplc="91585BAC">
      <w:numFmt w:val="bullet"/>
      <w:lvlText w:val="-"/>
      <w:lvlJc w:val="left"/>
      <w:pPr>
        <w:ind w:left="742" w:hanging="360"/>
      </w:pPr>
      <w:rPr>
        <w:rFonts w:ascii="Times New Roman" w:eastAsia="Calibri" w:hAnsi="Times New Roman" w:cs="Times New Roman" w:hint="default"/>
      </w:rPr>
    </w:lvl>
    <w:lvl w:ilvl="1" w:tplc="040C0003">
      <w:start w:val="1"/>
      <w:numFmt w:val="bullet"/>
      <w:lvlText w:val="o"/>
      <w:lvlJc w:val="left"/>
      <w:pPr>
        <w:ind w:left="1462" w:hanging="360"/>
      </w:pPr>
      <w:rPr>
        <w:rFonts w:ascii="Courier New" w:hAnsi="Courier New" w:cs="Courier New" w:hint="default"/>
      </w:rPr>
    </w:lvl>
    <w:lvl w:ilvl="2" w:tplc="040C0005">
      <w:start w:val="1"/>
      <w:numFmt w:val="bullet"/>
      <w:lvlText w:val=""/>
      <w:lvlJc w:val="left"/>
      <w:pPr>
        <w:ind w:left="2182" w:hanging="360"/>
      </w:pPr>
      <w:rPr>
        <w:rFonts w:ascii="Wingdings" w:hAnsi="Wingdings" w:hint="default"/>
      </w:rPr>
    </w:lvl>
    <w:lvl w:ilvl="3" w:tplc="040C0001">
      <w:start w:val="1"/>
      <w:numFmt w:val="bullet"/>
      <w:lvlText w:val=""/>
      <w:lvlJc w:val="left"/>
      <w:pPr>
        <w:ind w:left="2902" w:hanging="360"/>
      </w:pPr>
      <w:rPr>
        <w:rFonts w:ascii="Symbol" w:hAnsi="Symbol" w:hint="default"/>
      </w:rPr>
    </w:lvl>
    <w:lvl w:ilvl="4" w:tplc="040C0003">
      <w:start w:val="1"/>
      <w:numFmt w:val="bullet"/>
      <w:lvlText w:val="o"/>
      <w:lvlJc w:val="left"/>
      <w:pPr>
        <w:ind w:left="3622" w:hanging="360"/>
      </w:pPr>
      <w:rPr>
        <w:rFonts w:ascii="Courier New" w:hAnsi="Courier New" w:cs="Courier New" w:hint="default"/>
      </w:rPr>
    </w:lvl>
    <w:lvl w:ilvl="5" w:tplc="040C0005">
      <w:start w:val="1"/>
      <w:numFmt w:val="bullet"/>
      <w:lvlText w:val=""/>
      <w:lvlJc w:val="left"/>
      <w:pPr>
        <w:ind w:left="4342" w:hanging="360"/>
      </w:pPr>
      <w:rPr>
        <w:rFonts w:ascii="Wingdings" w:hAnsi="Wingdings" w:hint="default"/>
      </w:rPr>
    </w:lvl>
    <w:lvl w:ilvl="6" w:tplc="040C0001">
      <w:start w:val="1"/>
      <w:numFmt w:val="bullet"/>
      <w:lvlText w:val=""/>
      <w:lvlJc w:val="left"/>
      <w:pPr>
        <w:ind w:left="5062" w:hanging="360"/>
      </w:pPr>
      <w:rPr>
        <w:rFonts w:ascii="Symbol" w:hAnsi="Symbol" w:hint="default"/>
      </w:rPr>
    </w:lvl>
    <w:lvl w:ilvl="7" w:tplc="040C0003">
      <w:start w:val="1"/>
      <w:numFmt w:val="bullet"/>
      <w:lvlText w:val="o"/>
      <w:lvlJc w:val="left"/>
      <w:pPr>
        <w:ind w:left="5782" w:hanging="360"/>
      </w:pPr>
      <w:rPr>
        <w:rFonts w:ascii="Courier New" w:hAnsi="Courier New" w:cs="Courier New" w:hint="default"/>
      </w:rPr>
    </w:lvl>
    <w:lvl w:ilvl="8" w:tplc="040C0005">
      <w:start w:val="1"/>
      <w:numFmt w:val="bullet"/>
      <w:lvlText w:val=""/>
      <w:lvlJc w:val="left"/>
      <w:pPr>
        <w:ind w:left="6502" w:hanging="360"/>
      </w:pPr>
      <w:rPr>
        <w:rFonts w:ascii="Wingdings" w:hAnsi="Wingdings" w:hint="default"/>
      </w:rPr>
    </w:lvl>
  </w:abstractNum>
  <w:abstractNum w:abstractNumId="44" w15:restartNumberingAfterBreak="0">
    <w:nsid w:val="4C1B68DB"/>
    <w:multiLevelType w:val="multilevel"/>
    <w:tmpl w:val="4C002DA0"/>
    <w:lvl w:ilvl="0">
      <w:start w:val="1"/>
      <w:numFmt w:val="bullet"/>
      <w:lvlText w:val="–"/>
      <w:lvlJc w:val="left"/>
      <w:pPr>
        <w:tabs>
          <w:tab w:val="num" w:pos="283"/>
        </w:tabs>
        <w:ind w:left="283" w:hanging="283"/>
      </w:pPr>
      <w:rPr>
        <w:rFonts w:ascii="Times New Roman" w:hAnsi="Times New Roma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5" w15:restartNumberingAfterBreak="0">
    <w:nsid w:val="52AC5E2B"/>
    <w:multiLevelType w:val="hybridMultilevel"/>
    <w:tmpl w:val="AC525540"/>
    <w:lvl w:ilvl="0" w:tplc="8F66C52E">
      <w:start w:val="1"/>
      <w:numFmt w:val="bullet"/>
      <w:lvlText w:val="-"/>
      <w:lvlJc w:val="left"/>
      <w:pPr>
        <w:ind w:left="720" w:hanging="360"/>
      </w:pPr>
      <w:rPr>
        <w:rFonts w:ascii="Calibri" w:hAnsi="Calibri"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440727D"/>
    <w:multiLevelType w:val="multilevel"/>
    <w:tmpl w:val="F22C2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459154E"/>
    <w:multiLevelType w:val="hybridMultilevel"/>
    <w:tmpl w:val="DBCCC928"/>
    <w:lvl w:ilvl="0" w:tplc="F6442AF2">
      <w:start w:val="1"/>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54BD0BEC"/>
    <w:multiLevelType w:val="singleLevel"/>
    <w:tmpl w:val="896C66B0"/>
    <w:lvl w:ilvl="0">
      <w:start w:val="1"/>
      <w:numFmt w:val="bullet"/>
      <w:pStyle w:val="ListBullet"/>
      <w:lvlText w:val=""/>
      <w:lvlJc w:val="left"/>
      <w:pPr>
        <w:tabs>
          <w:tab w:val="num" w:pos="567"/>
        </w:tabs>
        <w:ind w:left="567" w:hanging="283"/>
      </w:pPr>
      <w:rPr>
        <w:rFonts w:ascii="Symbol" w:hAnsi="Symbol"/>
      </w:rPr>
    </w:lvl>
  </w:abstractNum>
  <w:abstractNum w:abstractNumId="49" w15:restartNumberingAfterBreak="0">
    <w:nsid w:val="563D1E90"/>
    <w:multiLevelType w:val="hybridMultilevel"/>
    <w:tmpl w:val="345AE77E"/>
    <w:lvl w:ilvl="0" w:tplc="683673EA">
      <w:start w:val="2"/>
      <w:numFmt w:val="bullet"/>
      <w:lvlText w:val="-"/>
      <w:lvlJc w:val="left"/>
      <w:pPr>
        <w:ind w:left="446" w:hanging="360"/>
      </w:pPr>
      <w:rPr>
        <w:rFonts w:ascii="Times New Roman" w:eastAsia="Times New Roman" w:hAnsi="Times New Roman" w:cs="Times New Roman" w:hint="default"/>
      </w:rPr>
    </w:lvl>
    <w:lvl w:ilvl="1" w:tplc="04090003" w:tentative="1">
      <w:start w:val="1"/>
      <w:numFmt w:val="bullet"/>
      <w:lvlText w:val="o"/>
      <w:lvlJc w:val="left"/>
      <w:pPr>
        <w:ind w:left="1166" w:hanging="360"/>
      </w:pPr>
      <w:rPr>
        <w:rFonts w:ascii="Courier New" w:hAnsi="Courier New" w:cs="Courier New" w:hint="default"/>
      </w:rPr>
    </w:lvl>
    <w:lvl w:ilvl="2" w:tplc="04090005" w:tentative="1">
      <w:start w:val="1"/>
      <w:numFmt w:val="bullet"/>
      <w:lvlText w:val=""/>
      <w:lvlJc w:val="left"/>
      <w:pPr>
        <w:ind w:left="1886" w:hanging="360"/>
      </w:pPr>
      <w:rPr>
        <w:rFonts w:ascii="Wingdings" w:hAnsi="Wingdings" w:hint="default"/>
      </w:rPr>
    </w:lvl>
    <w:lvl w:ilvl="3" w:tplc="04090001" w:tentative="1">
      <w:start w:val="1"/>
      <w:numFmt w:val="bullet"/>
      <w:lvlText w:val=""/>
      <w:lvlJc w:val="left"/>
      <w:pPr>
        <w:ind w:left="2606" w:hanging="360"/>
      </w:pPr>
      <w:rPr>
        <w:rFonts w:ascii="Symbol" w:hAnsi="Symbol" w:hint="default"/>
      </w:rPr>
    </w:lvl>
    <w:lvl w:ilvl="4" w:tplc="04090003" w:tentative="1">
      <w:start w:val="1"/>
      <w:numFmt w:val="bullet"/>
      <w:lvlText w:val="o"/>
      <w:lvlJc w:val="left"/>
      <w:pPr>
        <w:ind w:left="3326" w:hanging="360"/>
      </w:pPr>
      <w:rPr>
        <w:rFonts w:ascii="Courier New" w:hAnsi="Courier New" w:cs="Courier New" w:hint="default"/>
      </w:rPr>
    </w:lvl>
    <w:lvl w:ilvl="5" w:tplc="04090005" w:tentative="1">
      <w:start w:val="1"/>
      <w:numFmt w:val="bullet"/>
      <w:lvlText w:val=""/>
      <w:lvlJc w:val="left"/>
      <w:pPr>
        <w:ind w:left="4046" w:hanging="360"/>
      </w:pPr>
      <w:rPr>
        <w:rFonts w:ascii="Wingdings" w:hAnsi="Wingdings" w:hint="default"/>
      </w:rPr>
    </w:lvl>
    <w:lvl w:ilvl="6" w:tplc="04090001" w:tentative="1">
      <w:start w:val="1"/>
      <w:numFmt w:val="bullet"/>
      <w:lvlText w:val=""/>
      <w:lvlJc w:val="left"/>
      <w:pPr>
        <w:ind w:left="4766" w:hanging="360"/>
      </w:pPr>
      <w:rPr>
        <w:rFonts w:ascii="Symbol" w:hAnsi="Symbol" w:hint="default"/>
      </w:rPr>
    </w:lvl>
    <w:lvl w:ilvl="7" w:tplc="04090003" w:tentative="1">
      <w:start w:val="1"/>
      <w:numFmt w:val="bullet"/>
      <w:lvlText w:val="o"/>
      <w:lvlJc w:val="left"/>
      <w:pPr>
        <w:ind w:left="5486" w:hanging="360"/>
      </w:pPr>
      <w:rPr>
        <w:rFonts w:ascii="Courier New" w:hAnsi="Courier New" w:cs="Courier New" w:hint="default"/>
      </w:rPr>
    </w:lvl>
    <w:lvl w:ilvl="8" w:tplc="04090005" w:tentative="1">
      <w:start w:val="1"/>
      <w:numFmt w:val="bullet"/>
      <w:lvlText w:val=""/>
      <w:lvlJc w:val="left"/>
      <w:pPr>
        <w:ind w:left="6206" w:hanging="360"/>
      </w:pPr>
      <w:rPr>
        <w:rFonts w:ascii="Wingdings" w:hAnsi="Wingdings" w:hint="default"/>
      </w:rPr>
    </w:lvl>
  </w:abstractNum>
  <w:abstractNum w:abstractNumId="50" w15:restartNumberingAfterBreak="0">
    <w:nsid w:val="576D31F1"/>
    <w:multiLevelType w:val="multilevel"/>
    <w:tmpl w:val="3CB07CF0"/>
    <w:lvl w:ilvl="0">
      <w:start w:val="1"/>
      <w:numFmt w:val="decimal"/>
      <w:pStyle w:val="Application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7E419D9"/>
    <w:multiLevelType w:val="multilevel"/>
    <w:tmpl w:val="C9E02B26"/>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15:restartNumberingAfterBreak="0">
    <w:nsid w:val="58F166E8"/>
    <w:multiLevelType w:val="hybridMultilevel"/>
    <w:tmpl w:val="66428946"/>
    <w:lvl w:ilvl="0" w:tplc="92B6B5FE">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ACD3CF6"/>
    <w:multiLevelType w:val="multilevel"/>
    <w:tmpl w:val="4F8C0B58"/>
    <w:lvl w:ilvl="0">
      <w:start w:val="1"/>
      <w:numFmt w:val="decimal"/>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55" w15:restartNumberingAfterBreak="0">
    <w:nsid w:val="5E2328A9"/>
    <w:multiLevelType w:val="hybridMultilevel"/>
    <w:tmpl w:val="53CAC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21924F2"/>
    <w:multiLevelType w:val="hybridMultilevel"/>
    <w:tmpl w:val="10D63378"/>
    <w:lvl w:ilvl="0" w:tplc="0C000001">
      <w:start w:val="1"/>
      <w:numFmt w:val="bullet"/>
      <w:lvlText w:val=""/>
      <w:lvlJc w:val="left"/>
      <w:pPr>
        <w:ind w:left="1080" w:hanging="360"/>
      </w:pPr>
      <w:rPr>
        <w:rFonts w:ascii="Symbol" w:hAnsi="Symbol"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57" w15:restartNumberingAfterBreak="0">
    <w:nsid w:val="69356A49"/>
    <w:multiLevelType w:val="hybridMultilevel"/>
    <w:tmpl w:val="5A6427E8"/>
    <w:lvl w:ilvl="0" w:tplc="DCBCA2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F207FAC"/>
    <w:multiLevelType w:val="multilevel"/>
    <w:tmpl w:val="EF4A6BA4"/>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701C212C"/>
    <w:multiLevelType w:val="hybridMultilevel"/>
    <w:tmpl w:val="A14A3822"/>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0204BF7"/>
    <w:multiLevelType w:val="hybridMultilevel"/>
    <w:tmpl w:val="F93C17F4"/>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27C5352"/>
    <w:multiLevelType w:val="hybridMultilevel"/>
    <w:tmpl w:val="75E2E2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2" w15:restartNumberingAfterBreak="0">
    <w:nsid w:val="78B7635C"/>
    <w:multiLevelType w:val="hybridMultilevel"/>
    <w:tmpl w:val="31AC0686"/>
    <w:lvl w:ilvl="0" w:tplc="8F66C52E">
      <w:start w:val="1"/>
      <w:numFmt w:val="bullet"/>
      <w:lvlText w:val="-"/>
      <w:lvlJc w:val="left"/>
      <w:pPr>
        <w:ind w:left="720" w:hanging="360"/>
      </w:pPr>
      <w:rPr>
        <w:rFonts w:ascii="Calibri" w:hAnsi="Calibri" w:hint="default"/>
        <w:sz w:val="1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3" w15:restartNumberingAfterBreak="0">
    <w:nsid w:val="7A584B09"/>
    <w:multiLevelType w:val="multilevel"/>
    <w:tmpl w:val="D31EDCC4"/>
    <w:lvl w:ilvl="0">
      <w:start w:val="1"/>
      <w:numFmt w:val="decimal"/>
      <w:lvlText w:val="%1."/>
      <w:lvlJc w:val="left"/>
      <w:pPr>
        <w:ind w:left="720" w:hanging="360"/>
      </w:pPr>
      <w:rPr>
        <w:rFonts w:hint="default"/>
      </w:rPr>
    </w:lvl>
    <w:lvl w:ilvl="1">
      <w:start w:val="2"/>
      <w:numFmt w:val="decimal"/>
      <w:isLgl/>
      <w:lvlText w:val="%1.%2"/>
      <w:lvlJc w:val="left"/>
      <w:pPr>
        <w:ind w:left="943" w:hanging="480"/>
      </w:pPr>
      <w:rPr>
        <w:rFonts w:hint="default"/>
      </w:rPr>
    </w:lvl>
    <w:lvl w:ilvl="2">
      <w:start w:val="9"/>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64" w15:restartNumberingAfterBreak="0">
    <w:nsid w:val="7CAB7EDA"/>
    <w:multiLevelType w:val="hybridMultilevel"/>
    <w:tmpl w:val="99CCCE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7CC26495"/>
    <w:multiLevelType w:val="multilevel"/>
    <w:tmpl w:val="E4E6E0D4"/>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6" w15:restartNumberingAfterBreak="0">
    <w:nsid w:val="7D9465F7"/>
    <w:multiLevelType w:val="hybridMultilevel"/>
    <w:tmpl w:val="FCE8E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EFA1E7F"/>
    <w:multiLevelType w:val="hybridMultilevel"/>
    <w:tmpl w:val="2904E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F0D6EBE"/>
    <w:multiLevelType w:val="hybridMultilevel"/>
    <w:tmpl w:val="623E5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9"/>
  </w:num>
  <w:num w:numId="3">
    <w:abstractNumId w:val="50"/>
  </w:num>
  <w:num w:numId="4">
    <w:abstractNumId w:val="41"/>
  </w:num>
  <w:num w:numId="5">
    <w:abstractNumId w:val="10"/>
  </w:num>
  <w:num w:numId="6">
    <w:abstractNumId w:val="11"/>
  </w:num>
  <w:num w:numId="7">
    <w:abstractNumId w:val="34"/>
  </w:num>
  <w:num w:numId="8">
    <w:abstractNumId w:val="48"/>
  </w:num>
  <w:num w:numId="9">
    <w:abstractNumId w:val="54"/>
  </w:num>
  <w:num w:numId="10">
    <w:abstractNumId w:val="28"/>
  </w:num>
  <w:num w:numId="11">
    <w:abstractNumId w:val="17"/>
  </w:num>
  <w:num w:numId="12">
    <w:abstractNumId w:val="8"/>
  </w:num>
  <w:num w:numId="13">
    <w:abstractNumId w:val="67"/>
  </w:num>
  <w:num w:numId="14">
    <w:abstractNumId w:val="37"/>
  </w:num>
  <w:num w:numId="15">
    <w:abstractNumId w:val="16"/>
  </w:num>
  <w:num w:numId="16">
    <w:abstractNumId w:val="59"/>
  </w:num>
  <w:num w:numId="17">
    <w:abstractNumId w:val="19"/>
  </w:num>
  <w:num w:numId="18">
    <w:abstractNumId w:val="38"/>
  </w:num>
  <w:num w:numId="19">
    <w:abstractNumId w:val="60"/>
  </w:num>
  <w:num w:numId="20">
    <w:abstractNumId w:val="47"/>
  </w:num>
  <w:num w:numId="21">
    <w:abstractNumId w:val="20"/>
  </w:num>
  <w:num w:numId="22">
    <w:abstractNumId w:val="66"/>
  </w:num>
  <w:num w:numId="23">
    <w:abstractNumId w:val="26"/>
  </w:num>
  <w:num w:numId="24">
    <w:abstractNumId w:val="12"/>
  </w:num>
  <w:num w:numId="25">
    <w:abstractNumId w:val="36"/>
  </w:num>
  <w:num w:numId="26">
    <w:abstractNumId w:val="23"/>
  </w:num>
  <w:num w:numId="27">
    <w:abstractNumId w:val="63"/>
  </w:num>
  <w:num w:numId="28">
    <w:abstractNumId w:val="61"/>
  </w:num>
  <w:num w:numId="29">
    <w:abstractNumId w:val="64"/>
  </w:num>
  <w:num w:numId="30">
    <w:abstractNumId w:val="24"/>
  </w:num>
  <w:num w:numId="31">
    <w:abstractNumId w:val="27"/>
  </w:num>
  <w:num w:numId="32">
    <w:abstractNumId w:val="31"/>
  </w:num>
  <w:num w:numId="33">
    <w:abstractNumId w:val="13"/>
  </w:num>
  <w:num w:numId="34">
    <w:abstractNumId w:val="18"/>
  </w:num>
  <w:num w:numId="35">
    <w:abstractNumId w:val="56"/>
  </w:num>
  <w:num w:numId="36">
    <w:abstractNumId w:val="14"/>
  </w:num>
  <w:num w:numId="37">
    <w:abstractNumId w:val="49"/>
  </w:num>
  <w:num w:numId="38">
    <w:abstractNumId w:val="46"/>
  </w:num>
  <w:num w:numId="39">
    <w:abstractNumId w:val="68"/>
  </w:num>
  <w:num w:numId="40">
    <w:abstractNumId w:val="22"/>
  </w:num>
  <w:num w:numId="41">
    <w:abstractNumId w:val="25"/>
  </w:num>
  <w:num w:numId="42">
    <w:abstractNumId w:val="15"/>
  </w:num>
  <w:num w:numId="43">
    <w:abstractNumId w:val="45"/>
  </w:num>
  <w:num w:numId="44">
    <w:abstractNumId w:val="32"/>
  </w:num>
  <w:num w:numId="45">
    <w:abstractNumId w:val="9"/>
  </w:num>
  <w:num w:numId="46">
    <w:abstractNumId w:val="21"/>
  </w:num>
  <w:num w:numId="47">
    <w:abstractNumId w:val="44"/>
  </w:num>
  <w:num w:numId="48">
    <w:abstractNumId w:val="40"/>
  </w:num>
  <w:num w:numId="49">
    <w:abstractNumId w:val="39"/>
  </w:num>
  <w:num w:numId="50">
    <w:abstractNumId w:val="8"/>
  </w:num>
  <w:num w:numId="51">
    <w:abstractNumId w:val="42"/>
  </w:num>
  <w:num w:numId="52">
    <w:abstractNumId w:val="35"/>
  </w:num>
  <w:num w:numId="53">
    <w:abstractNumId w:val="52"/>
  </w:num>
  <w:num w:numId="54">
    <w:abstractNumId w:val="57"/>
  </w:num>
  <w:num w:numId="55">
    <w:abstractNumId w:val="8"/>
  </w:num>
  <w:num w:numId="56">
    <w:abstractNumId w:val="8"/>
  </w:num>
  <w:num w:numId="57">
    <w:abstractNumId w:val="30"/>
  </w:num>
  <w:num w:numId="58">
    <w:abstractNumId w:val="8"/>
  </w:num>
  <w:num w:numId="59">
    <w:abstractNumId w:val="6"/>
  </w:num>
  <w:num w:numId="60">
    <w:abstractNumId w:val="5"/>
  </w:num>
  <w:num w:numId="61">
    <w:abstractNumId w:val="4"/>
  </w:num>
  <w:num w:numId="62">
    <w:abstractNumId w:val="7"/>
  </w:num>
  <w:num w:numId="63">
    <w:abstractNumId w:val="2"/>
  </w:num>
  <w:num w:numId="64">
    <w:abstractNumId w:val="1"/>
  </w:num>
  <w:num w:numId="65">
    <w:abstractNumId w:val="0"/>
  </w:num>
  <w:num w:numId="66">
    <w:abstractNumId w:val="55"/>
  </w:num>
  <w:num w:numId="67">
    <w:abstractNumId w:val="65"/>
  </w:num>
  <w:num w:numId="68">
    <w:abstractNumId w:val="58"/>
  </w:num>
  <w:num w:numId="69">
    <w:abstractNumId w:val="43"/>
  </w:num>
  <w:num w:numId="70">
    <w:abstractNumId w:val="62"/>
  </w:num>
  <w:num w:numId="71">
    <w:abstractNumId w:val="53"/>
  </w:num>
  <w:num w:numId="72">
    <w:abstractNumId w:val="53"/>
  </w:num>
  <w:num w:numId="73">
    <w:abstractNumId w:val="53"/>
  </w:num>
  <w:num w:numId="74">
    <w:abstractNumId w:val="53"/>
  </w:num>
  <w:num w:numId="75">
    <w:abstractNumId w:val="33"/>
  </w:num>
  <w:num w:numId="76">
    <w:abstractNumId w:val="33"/>
  </w:num>
  <w:num w:numId="77">
    <w:abstractNumId w:val="33"/>
  </w:num>
  <w:num w:numId="78">
    <w:abstractNumId w:val="33"/>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activeWritingStyle w:appName="MSWord" w:lang="fr-BE" w:vendorID="64" w:dllVersion="6" w:nlCheck="1" w:checkStyle="0"/>
  <w:activeWritingStyle w:appName="MSWord" w:lang="en-GB" w:vendorID="64" w:dllVersion="6" w:nlCheck="1" w:checkStyle="1"/>
  <w:activeWritingStyle w:appName="MSWord" w:lang="es-ES" w:vendorID="64" w:dllVersion="6" w:nlCheck="1" w:checkStyle="0"/>
  <w:activeWritingStyle w:appName="MSWord" w:lang="en-IE"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E" w:vendorID="64" w:dllVersion="4096" w:nlCheck="1" w:checkStyle="0"/>
  <w:activeWritingStyle w:appName="MSWord" w:lang="fr-BE" w:vendorID="64" w:dllVersion="4096" w:nlCheck="1" w:checkStyle="0"/>
  <w:activeWritingStyle w:appName="MSWord" w:lang="es-ES" w:vendorID="64" w:dllVersion="4096" w:nlCheck="1" w:checkStyle="0"/>
  <w:activeWritingStyle w:appName="MSWord" w:lang="tr-TR" w:vendorID="64" w:dllVersion="4096" w:nlCheck="1" w:checkStyle="0"/>
  <w:activeWritingStyle w:appName="MSWord" w:lang="en-GB"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3749B5"/>
    <w:rsid w:val="00000189"/>
    <w:rsid w:val="00000396"/>
    <w:rsid w:val="000009D2"/>
    <w:rsid w:val="000015FC"/>
    <w:rsid w:val="00001767"/>
    <w:rsid w:val="00001EDA"/>
    <w:rsid w:val="00001F83"/>
    <w:rsid w:val="00003166"/>
    <w:rsid w:val="00003187"/>
    <w:rsid w:val="00003724"/>
    <w:rsid w:val="000041CE"/>
    <w:rsid w:val="000043F8"/>
    <w:rsid w:val="0000492D"/>
    <w:rsid w:val="00004EAB"/>
    <w:rsid w:val="000057BA"/>
    <w:rsid w:val="0000587D"/>
    <w:rsid w:val="00005F89"/>
    <w:rsid w:val="00006318"/>
    <w:rsid w:val="00007BEE"/>
    <w:rsid w:val="000111FB"/>
    <w:rsid w:val="0001129D"/>
    <w:rsid w:val="00011383"/>
    <w:rsid w:val="00011765"/>
    <w:rsid w:val="00012342"/>
    <w:rsid w:val="0001251B"/>
    <w:rsid w:val="000127B4"/>
    <w:rsid w:val="00012D9A"/>
    <w:rsid w:val="00013D6B"/>
    <w:rsid w:val="0001411D"/>
    <w:rsid w:val="0001462B"/>
    <w:rsid w:val="0001485A"/>
    <w:rsid w:val="00014E97"/>
    <w:rsid w:val="000159A3"/>
    <w:rsid w:val="00016BA2"/>
    <w:rsid w:val="000176DE"/>
    <w:rsid w:val="00017CCA"/>
    <w:rsid w:val="00017DDF"/>
    <w:rsid w:val="00017EFF"/>
    <w:rsid w:val="00020C81"/>
    <w:rsid w:val="000220E5"/>
    <w:rsid w:val="000224AA"/>
    <w:rsid w:val="000228FC"/>
    <w:rsid w:val="00022ADB"/>
    <w:rsid w:val="00022D3C"/>
    <w:rsid w:val="00023576"/>
    <w:rsid w:val="0002374A"/>
    <w:rsid w:val="00023912"/>
    <w:rsid w:val="0002503B"/>
    <w:rsid w:val="00025394"/>
    <w:rsid w:val="00026D5B"/>
    <w:rsid w:val="00027881"/>
    <w:rsid w:val="00027C2F"/>
    <w:rsid w:val="00030A89"/>
    <w:rsid w:val="00030A8A"/>
    <w:rsid w:val="00030B45"/>
    <w:rsid w:val="00030E42"/>
    <w:rsid w:val="000312D2"/>
    <w:rsid w:val="00031E41"/>
    <w:rsid w:val="00032173"/>
    <w:rsid w:val="000323AD"/>
    <w:rsid w:val="000334B4"/>
    <w:rsid w:val="00033A1F"/>
    <w:rsid w:val="00034524"/>
    <w:rsid w:val="000349EB"/>
    <w:rsid w:val="00034BC8"/>
    <w:rsid w:val="00035681"/>
    <w:rsid w:val="000356C7"/>
    <w:rsid w:val="00035CB0"/>
    <w:rsid w:val="00037623"/>
    <w:rsid w:val="0003772E"/>
    <w:rsid w:val="000405C5"/>
    <w:rsid w:val="00040730"/>
    <w:rsid w:val="0004141B"/>
    <w:rsid w:val="00042967"/>
    <w:rsid w:val="0004466D"/>
    <w:rsid w:val="00044818"/>
    <w:rsid w:val="000457B9"/>
    <w:rsid w:val="00045E79"/>
    <w:rsid w:val="000469E8"/>
    <w:rsid w:val="00046C46"/>
    <w:rsid w:val="00046F88"/>
    <w:rsid w:val="00047C7D"/>
    <w:rsid w:val="00050B50"/>
    <w:rsid w:val="00050E48"/>
    <w:rsid w:val="00051330"/>
    <w:rsid w:val="0005133A"/>
    <w:rsid w:val="000515AB"/>
    <w:rsid w:val="0005169C"/>
    <w:rsid w:val="00051AC1"/>
    <w:rsid w:val="000543F8"/>
    <w:rsid w:val="00054B49"/>
    <w:rsid w:val="00055FED"/>
    <w:rsid w:val="00056377"/>
    <w:rsid w:val="00056D53"/>
    <w:rsid w:val="00057271"/>
    <w:rsid w:val="000572EE"/>
    <w:rsid w:val="000603C3"/>
    <w:rsid w:val="0006044D"/>
    <w:rsid w:val="00061610"/>
    <w:rsid w:val="000616CA"/>
    <w:rsid w:val="00061871"/>
    <w:rsid w:val="000618B3"/>
    <w:rsid w:val="00062A91"/>
    <w:rsid w:val="00062DE0"/>
    <w:rsid w:val="000636F3"/>
    <w:rsid w:val="000638B5"/>
    <w:rsid w:val="00063A68"/>
    <w:rsid w:val="0006470D"/>
    <w:rsid w:val="00064836"/>
    <w:rsid w:val="00064885"/>
    <w:rsid w:val="0006488E"/>
    <w:rsid w:val="000648BB"/>
    <w:rsid w:val="000649AA"/>
    <w:rsid w:val="0006505A"/>
    <w:rsid w:val="00065311"/>
    <w:rsid w:val="00065C6A"/>
    <w:rsid w:val="00065F32"/>
    <w:rsid w:val="00066441"/>
    <w:rsid w:val="00066656"/>
    <w:rsid w:val="00067591"/>
    <w:rsid w:val="00067A85"/>
    <w:rsid w:val="000728FC"/>
    <w:rsid w:val="000734D6"/>
    <w:rsid w:val="000735EC"/>
    <w:rsid w:val="00074018"/>
    <w:rsid w:val="0007408E"/>
    <w:rsid w:val="000745FC"/>
    <w:rsid w:val="000752CD"/>
    <w:rsid w:val="0007546C"/>
    <w:rsid w:val="00075849"/>
    <w:rsid w:val="00076B2B"/>
    <w:rsid w:val="000770BC"/>
    <w:rsid w:val="00077BB8"/>
    <w:rsid w:val="00077CF8"/>
    <w:rsid w:val="00080EA0"/>
    <w:rsid w:val="00081B91"/>
    <w:rsid w:val="00081FAC"/>
    <w:rsid w:val="000829A9"/>
    <w:rsid w:val="00083491"/>
    <w:rsid w:val="00083AA8"/>
    <w:rsid w:val="000842B5"/>
    <w:rsid w:val="00084CB5"/>
    <w:rsid w:val="00084D5A"/>
    <w:rsid w:val="000852E9"/>
    <w:rsid w:val="0008570E"/>
    <w:rsid w:val="00085EA1"/>
    <w:rsid w:val="0008672E"/>
    <w:rsid w:val="0008714A"/>
    <w:rsid w:val="00087373"/>
    <w:rsid w:val="000901E9"/>
    <w:rsid w:val="0009099A"/>
    <w:rsid w:val="00090A34"/>
    <w:rsid w:val="00090B93"/>
    <w:rsid w:val="000916B1"/>
    <w:rsid w:val="000919FB"/>
    <w:rsid w:val="00092688"/>
    <w:rsid w:val="00093C1F"/>
    <w:rsid w:val="00093DA8"/>
    <w:rsid w:val="000947D6"/>
    <w:rsid w:val="000949CB"/>
    <w:rsid w:val="0009588C"/>
    <w:rsid w:val="00095BE0"/>
    <w:rsid w:val="00095C5E"/>
    <w:rsid w:val="00095E80"/>
    <w:rsid w:val="00095FFE"/>
    <w:rsid w:val="00096428"/>
    <w:rsid w:val="0009657A"/>
    <w:rsid w:val="00096FF7"/>
    <w:rsid w:val="00097401"/>
    <w:rsid w:val="00097686"/>
    <w:rsid w:val="00097B47"/>
    <w:rsid w:val="000A02D4"/>
    <w:rsid w:val="000A039C"/>
    <w:rsid w:val="000A06B3"/>
    <w:rsid w:val="000A1093"/>
    <w:rsid w:val="000A1E1A"/>
    <w:rsid w:val="000A257B"/>
    <w:rsid w:val="000A2C18"/>
    <w:rsid w:val="000A4055"/>
    <w:rsid w:val="000A51F3"/>
    <w:rsid w:val="000A5242"/>
    <w:rsid w:val="000A5F22"/>
    <w:rsid w:val="000A60D9"/>
    <w:rsid w:val="000A6744"/>
    <w:rsid w:val="000A72B3"/>
    <w:rsid w:val="000B071C"/>
    <w:rsid w:val="000B0FF1"/>
    <w:rsid w:val="000B1032"/>
    <w:rsid w:val="000B21CB"/>
    <w:rsid w:val="000B2382"/>
    <w:rsid w:val="000B2496"/>
    <w:rsid w:val="000B24FE"/>
    <w:rsid w:val="000B2A3D"/>
    <w:rsid w:val="000B327F"/>
    <w:rsid w:val="000B4492"/>
    <w:rsid w:val="000B44BF"/>
    <w:rsid w:val="000B5834"/>
    <w:rsid w:val="000B5FC7"/>
    <w:rsid w:val="000B66B4"/>
    <w:rsid w:val="000B7AC2"/>
    <w:rsid w:val="000C00BF"/>
    <w:rsid w:val="000C024F"/>
    <w:rsid w:val="000C06A5"/>
    <w:rsid w:val="000C0AD6"/>
    <w:rsid w:val="000C1624"/>
    <w:rsid w:val="000C183F"/>
    <w:rsid w:val="000C3E25"/>
    <w:rsid w:val="000C4252"/>
    <w:rsid w:val="000C4276"/>
    <w:rsid w:val="000C55B5"/>
    <w:rsid w:val="000C6140"/>
    <w:rsid w:val="000C6593"/>
    <w:rsid w:val="000C75D2"/>
    <w:rsid w:val="000D240A"/>
    <w:rsid w:val="000D35EC"/>
    <w:rsid w:val="000D40CC"/>
    <w:rsid w:val="000D41A5"/>
    <w:rsid w:val="000D4903"/>
    <w:rsid w:val="000D4DC8"/>
    <w:rsid w:val="000D5F55"/>
    <w:rsid w:val="000D61C6"/>
    <w:rsid w:val="000D70B6"/>
    <w:rsid w:val="000D74F9"/>
    <w:rsid w:val="000D773C"/>
    <w:rsid w:val="000D7ACD"/>
    <w:rsid w:val="000D7B85"/>
    <w:rsid w:val="000E0074"/>
    <w:rsid w:val="000E123D"/>
    <w:rsid w:val="000E1508"/>
    <w:rsid w:val="000E171E"/>
    <w:rsid w:val="000E19B9"/>
    <w:rsid w:val="000E1C15"/>
    <w:rsid w:val="000E239C"/>
    <w:rsid w:val="000E2AF6"/>
    <w:rsid w:val="000E2E9C"/>
    <w:rsid w:val="000E3294"/>
    <w:rsid w:val="000E32B1"/>
    <w:rsid w:val="000E38CD"/>
    <w:rsid w:val="000E3A17"/>
    <w:rsid w:val="000E4726"/>
    <w:rsid w:val="000E5BD3"/>
    <w:rsid w:val="000E6BF6"/>
    <w:rsid w:val="000E76E9"/>
    <w:rsid w:val="000F02A9"/>
    <w:rsid w:val="000F0D6C"/>
    <w:rsid w:val="000F197D"/>
    <w:rsid w:val="000F2165"/>
    <w:rsid w:val="000F22BC"/>
    <w:rsid w:val="000F27DE"/>
    <w:rsid w:val="000F3272"/>
    <w:rsid w:val="000F3438"/>
    <w:rsid w:val="000F4636"/>
    <w:rsid w:val="000F47D9"/>
    <w:rsid w:val="000F52E2"/>
    <w:rsid w:val="000F537E"/>
    <w:rsid w:val="000F59A0"/>
    <w:rsid w:val="000F5BBF"/>
    <w:rsid w:val="000F5F93"/>
    <w:rsid w:val="000F611E"/>
    <w:rsid w:val="000F62AF"/>
    <w:rsid w:val="000F7405"/>
    <w:rsid w:val="001003C5"/>
    <w:rsid w:val="00100C6B"/>
    <w:rsid w:val="00100E22"/>
    <w:rsid w:val="00100F61"/>
    <w:rsid w:val="00100FAC"/>
    <w:rsid w:val="00101271"/>
    <w:rsid w:val="00101AEE"/>
    <w:rsid w:val="00101B6B"/>
    <w:rsid w:val="00101E54"/>
    <w:rsid w:val="00101FF1"/>
    <w:rsid w:val="001027A3"/>
    <w:rsid w:val="00103811"/>
    <w:rsid w:val="00104139"/>
    <w:rsid w:val="001052D4"/>
    <w:rsid w:val="001052E7"/>
    <w:rsid w:val="001059B8"/>
    <w:rsid w:val="00107C6D"/>
    <w:rsid w:val="00110201"/>
    <w:rsid w:val="001104EB"/>
    <w:rsid w:val="00111BFF"/>
    <w:rsid w:val="00112225"/>
    <w:rsid w:val="00112E4F"/>
    <w:rsid w:val="0011455E"/>
    <w:rsid w:val="00114A00"/>
    <w:rsid w:val="001151FE"/>
    <w:rsid w:val="0011551C"/>
    <w:rsid w:val="001158D6"/>
    <w:rsid w:val="00115DFF"/>
    <w:rsid w:val="00115EBA"/>
    <w:rsid w:val="001162F0"/>
    <w:rsid w:val="00116BB5"/>
    <w:rsid w:val="001178DC"/>
    <w:rsid w:val="00120A8D"/>
    <w:rsid w:val="00121219"/>
    <w:rsid w:val="00121CA0"/>
    <w:rsid w:val="00122440"/>
    <w:rsid w:val="00122B03"/>
    <w:rsid w:val="001232A6"/>
    <w:rsid w:val="001236BA"/>
    <w:rsid w:val="00124239"/>
    <w:rsid w:val="00124611"/>
    <w:rsid w:val="001249D9"/>
    <w:rsid w:val="001254ED"/>
    <w:rsid w:val="0012561C"/>
    <w:rsid w:val="001256F1"/>
    <w:rsid w:val="00126371"/>
    <w:rsid w:val="00126679"/>
    <w:rsid w:val="00127131"/>
    <w:rsid w:val="001309F2"/>
    <w:rsid w:val="00130E89"/>
    <w:rsid w:val="00131303"/>
    <w:rsid w:val="00132E55"/>
    <w:rsid w:val="0013435B"/>
    <w:rsid w:val="00134910"/>
    <w:rsid w:val="00135B6F"/>
    <w:rsid w:val="00135D82"/>
    <w:rsid w:val="00136AD0"/>
    <w:rsid w:val="0013713C"/>
    <w:rsid w:val="00137D64"/>
    <w:rsid w:val="00140126"/>
    <w:rsid w:val="00140A0D"/>
    <w:rsid w:val="001421B6"/>
    <w:rsid w:val="00143E05"/>
    <w:rsid w:val="0014692E"/>
    <w:rsid w:val="00146F1C"/>
    <w:rsid w:val="00147ECE"/>
    <w:rsid w:val="0015028B"/>
    <w:rsid w:val="00150568"/>
    <w:rsid w:val="001507E7"/>
    <w:rsid w:val="00151EDE"/>
    <w:rsid w:val="00152126"/>
    <w:rsid w:val="001529A8"/>
    <w:rsid w:val="00152F84"/>
    <w:rsid w:val="001535DD"/>
    <w:rsid w:val="0015374C"/>
    <w:rsid w:val="00153C75"/>
    <w:rsid w:val="00153E80"/>
    <w:rsid w:val="00154428"/>
    <w:rsid w:val="00154C34"/>
    <w:rsid w:val="001554CF"/>
    <w:rsid w:val="00155BB8"/>
    <w:rsid w:val="001561E0"/>
    <w:rsid w:val="001566CE"/>
    <w:rsid w:val="00156D01"/>
    <w:rsid w:val="00156DE6"/>
    <w:rsid w:val="00157648"/>
    <w:rsid w:val="00160781"/>
    <w:rsid w:val="001616A5"/>
    <w:rsid w:val="00161AC7"/>
    <w:rsid w:val="00161BDC"/>
    <w:rsid w:val="00161C69"/>
    <w:rsid w:val="001640CB"/>
    <w:rsid w:val="0016598D"/>
    <w:rsid w:val="00165EB2"/>
    <w:rsid w:val="001664B1"/>
    <w:rsid w:val="0016671F"/>
    <w:rsid w:val="00166BE7"/>
    <w:rsid w:val="00167D43"/>
    <w:rsid w:val="00171109"/>
    <w:rsid w:val="00172079"/>
    <w:rsid w:val="001727DA"/>
    <w:rsid w:val="001729EF"/>
    <w:rsid w:val="0017357A"/>
    <w:rsid w:val="00173C10"/>
    <w:rsid w:val="00175DE7"/>
    <w:rsid w:val="00175F1E"/>
    <w:rsid w:val="00175F39"/>
    <w:rsid w:val="00176719"/>
    <w:rsid w:val="00176901"/>
    <w:rsid w:val="00176B31"/>
    <w:rsid w:val="00176C61"/>
    <w:rsid w:val="00176FB1"/>
    <w:rsid w:val="0017739C"/>
    <w:rsid w:val="0017762C"/>
    <w:rsid w:val="00180410"/>
    <w:rsid w:val="00180523"/>
    <w:rsid w:val="001807CB"/>
    <w:rsid w:val="00180895"/>
    <w:rsid w:val="001814A4"/>
    <w:rsid w:val="001817FD"/>
    <w:rsid w:val="00181D29"/>
    <w:rsid w:val="00181D7A"/>
    <w:rsid w:val="0018259A"/>
    <w:rsid w:val="00183435"/>
    <w:rsid w:val="00183438"/>
    <w:rsid w:val="00183508"/>
    <w:rsid w:val="001844EB"/>
    <w:rsid w:val="001848C3"/>
    <w:rsid w:val="001851C2"/>
    <w:rsid w:val="001870D3"/>
    <w:rsid w:val="00187D60"/>
    <w:rsid w:val="00190A83"/>
    <w:rsid w:val="00190AE3"/>
    <w:rsid w:val="0019107A"/>
    <w:rsid w:val="001919A1"/>
    <w:rsid w:val="00192503"/>
    <w:rsid w:val="0019251C"/>
    <w:rsid w:val="00192E2C"/>
    <w:rsid w:val="00193168"/>
    <w:rsid w:val="001933A5"/>
    <w:rsid w:val="0019373F"/>
    <w:rsid w:val="00194DAF"/>
    <w:rsid w:val="00195347"/>
    <w:rsid w:val="00195A3B"/>
    <w:rsid w:val="00195EAB"/>
    <w:rsid w:val="00196113"/>
    <w:rsid w:val="001974E4"/>
    <w:rsid w:val="00197634"/>
    <w:rsid w:val="00197AA9"/>
    <w:rsid w:val="001A081C"/>
    <w:rsid w:val="001A0FA9"/>
    <w:rsid w:val="001A0FEC"/>
    <w:rsid w:val="001A143D"/>
    <w:rsid w:val="001A1854"/>
    <w:rsid w:val="001A18C8"/>
    <w:rsid w:val="001A1E7A"/>
    <w:rsid w:val="001A2125"/>
    <w:rsid w:val="001A31B7"/>
    <w:rsid w:val="001A3322"/>
    <w:rsid w:val="001A351E"/>
    <w:rsid w:val="001A394F"/>
    <w:rsid w:val="001A3A51"/>
    <w:rsid w:val="001A3C1D"/>
    <w:rsid w:val="001A3FE1"/>
    <w:rsid w:val="001A4D38"/>
    <w:rsid w:val="001A4F8E"/>
    <w:rsid w:val="001A5762"/>
    <w:rsid w:val="001A5F1F"/>
    <w:rsid w:val="001A5F80"/>
    <w:rsid w:val="001A7E1E"/>
    <w:rsid w:val="001B03E2"/>
    <w:rsid w:val="001B0750"/>
    <w:rsid w:val="001B077F"/>
    <w:rsid w:val="001B0C51"/>
    <w:rsid w:val="001B23BB"/>
    <w:rsid w:val="001B2484"/>
    <w:rsid w:val="001B26AC"/>
    <w:rsid w:val="001B53ED"/>
    <w:rsid w:val="001B596A"/>
    <w:rsid w:val="001B69A5"/>
    <w:rsid w:val="001B6E72"/>
    <w:rsid w:val="001B6F5A"/>
    <w:rsid w:val="001B7DC6"/>
    <w:rsid w:val="001C0A89"/>
    <w:rsid w:val="001C0EFE"/>
    <w:rsid w:val="001C1D2C"/>
    <w:rsid w:val="001C1EB6"/>
    <w:rsid w:val="001C474A"/>
    <w:rsid w:val="001C4D3A"/>
    <w:rsid w:val="001C4EEE"/>
    <w:rsid w:val="001C52B0"/>
    <w:rsid w:val="001C5A67"/>
    <w:rsid w:val="001C5D7E"/>
    <w:rsid w:val="001C6B80"/>
    <w:rsid w:val="001C71E4"/>
    <w:rsid w:val="001C71F8"/>
    <w:rsid w:val="001C7B85"/>
    <w:rsid w:val="001C7DA0"/>
    <w:rsid w:val="001D064E"/>
    <w:rsid w:val="001D07C0"/>
    <w:rsid w:val="001D0C7B"/>
    <w:rsid w:val="001D0D72"/>
    <w:rsid w:val="001D215D"/>
    <w:rsid w:val="001D2826"/>
    <w:rsid w:val="001D33C6"/>
    <w:rsid w:val="001D3C19"/>
    <w:rsid w:val="001D4122"/>
    <w:rsid w:val="001D4949"/>
    <w:rsid w:val="001D5B79"/>
    <w:rsid w:val="001D6917"/>
    <w:rsid w:val="001D6EA7"/>
    <w:rsid w:val="001D7B14"/>
    <w:rsid w:val="001E0435"/>
    <w:rsid w:val="001E10DA"/>
    <w:rsid w:val="001E23EC"/>
    <w:rsid w:val="001E2490"/>
    <w:rsid w:val="001E274C"/>
    <w:rsid w:val="001E2E0D"/>
    <w:rsid w:val="001E3BA7"/>
    <w:rsid w:val="001E41AA"/>
    <w:rsid w:val="001E4A72"/>
    <w:rsid w:val="001E5262"/>
    <w:rsid w:val="001E6052"/>
    <w:rsid w:val="001E633D"/>
    <w:rsid w:val="001E6568"/>
    <w:rsid w:val="001E7C41"/>
    <w:rsid w:val="001F0C60"/>
    <w:rsid w:val="001F26BC"/>
    <w:rsid w:val="001F3EAC"/>
    <w:rsid w:val="001F4014"/>
    <w:rsid w:val="001F4667"/>
    <w:rsid w:val="001F47DB"/>
    <w:rsid w:val="001F59CD"/>
    <w:rsid w:val="001F5A20"/>
    <w:rsid w:val="001F5F6E"/>
    <w:rsid w:val="001F5FFD"/>
    <w:rsid w:val="001F6434"/>
    <w:rsid w:val="001F7DFC"/>
    <w:rsid w:val="002004B0"/>
    <w:rsid w:val="002012DE"/>
    <w:rsid w:val="002015A7"/>
    <w:rsid w:val="00201E89"/>
    <w:rsid w:val="002023D8"/>
    <w:rsid w:val="00202B20"/>
    <w:rsid w:val="00202EE2"/>
    <w:rsid w:val="00203ABF"/>
    <w:rsid w:val="00203B76"/>
    <w:rsid w:val="00203BFA"/>
    <w:rsid w:val="0020401B"/>
    <w:rsid w:val="002040AB"/>
    <w:rsid w:val="002045C6"/>
    <w:rsid w:val="0020522E"/>
    <w:rsid w:val="002055A6"/>
    <w:rsid w:val="00205D6F"/>
    <w:rsid w:val="002060C2"/>
    <w:rsid w:val="0020616B"/>
    <w:rsid w:val="00210AB7"/>
    <w:rsid w:val="00210B1F"/>
    <w:rsid w:val="00210DC6"/>
    <w:rsid w:val="00211B17"/>
    <w:rsid w:val="00211B8D"/>
    <w:rsid w:val="00212526"/>
    <w:rsid w:val="002128D0"/>
    <w:rsid w:val="0021362B"/>
    <w:rsid w:val="0021615E"/>
    <w:rsid w:val="00216CE5"/>
    <w:rsid w:val="002208E4"/>
    <w:rsid w:val="00220999"/>
    <w:rsid w:val="0022115B"/>
    <w:rsid w:val="00221163"/>
    <w:rsid w:val="0022120B"/>
    <w:rsid w:val="0022128C"/>
    <w:rsid w:val="00221350"/>
    <w:rsid w:val="002214CE"/>
    <w:rsid w:val="00222427"/>
    <w:rsid w:val="0022273F"/>
    <w:rsid w:val="0022283B"/>
    <w:rsid w:val="00222886"/>
    <w:rsid w:val="00222A38"/>
    <w:rsid w:val="00222AE2"/>
    <w:rsid w:val="0022324E"/>
    <w:rsid w:val="00223658"/>
    <w:rsid w:val="00223ABC"/>
    <w:rsid w:val="00223C40"/>
    <w:rsid w:val="002254C4"/>
    <w:rsid w:val="00225C3A"/>
    <w:rsid w:val="00226148"/>
    <w:rsid w:val="002265E1"/>
    <w:rsid w:val="00227148"/>
    <w:rsid w:val="002272EE"/>
    <w:rsid w:val="0023018A"/>
    <w:rsid w:val="002311AE"/>
    <w:rsid w:val="00231C23"/>
    <w:rsid w:val="002321FF"/>
    <w:rsid w:val="002329EF"/>
    <w:rsid w:val="00232FF9"/>
    <w:rsid w:val="00233450"/>
    <w:rsid w:val="00233466"/>
    <w:rsid w:val="00234312"/>
    <w:rsid w:val="00234335"/>
    <w:rsid w:val="002346D0"/>
    <w:rsid w:val="00234971"/>
    <w:rsid w:val="002355D2"/>
    <w:rsid w:val="00236984"/>
    <w:rsid w:val="00237884"/>
    <w:rsid w:val="00237938"/>
    <w:rsid w:val="002379BB"/>
    <w:rsid w:val="00237B61"/>
    <w:rsid w:val="00237BB9"/>
    <w:rsid w:val="00241217"/>
    <w:rsid w:val="00241446"/>
    <w:rsid w:val="0024146B"/>
    <w:rsid w:val="0024336B"/>
    <w:rsid w:val="00244AFA"/>
    <w:rsid w:val="00244BC4"/>
    <w:rsid w:val="00244D10"/>
    <w:rsid w:val="0024500E"/>
    <w:rsid w:val="00245478"/>
    <w:rsid w:val="0024623A"/>
    <w:rsid w:val="00246F6D"/>
    <w:rsid w:val="00247941"/>
    <w:rsid w:val="00250D3C"/>
    <w:rsid w:val="0025435C"/>
    <w:rsid w:val="00254371"/>
    <w:rsid w:val="0025585A"/>
    <w:rsid w:val="00256233"/>
    <w:rsid w:val="00257003"/>
    <w:rsid w:val="0025737C"/>
    <w:rsid w:val="002573AC"/>
    <w:rsid w:val="00260548"/>
    <w:rsid w:val="00260640"/>
    <w:rsid w:val="0026123F"/>
    <w:rsid w:val="00261F79"/>
    <w:rsid w:val="00263A37"/>
    <w:rsid w:val="00264ABF"/>
    <w:rsid w:val="00264C31"/>
    <w:rsid w:val="00265280"/>
    <w:rsid w:val="002658C9"/>
    <w:rsid w:val="00265A33"/>
    <w:rsid w:val="00265E79"/>
    <w:rsid w:val="0026609F"/>
    <w:rsid w:val="002661BC"/>
    <w:rsid w:val="00266751"/>
    <w:rsid w:val="00266BD4"/>
    <w:rsid w:val="00267AD8"/>
    <w:rsid w:val="00267BD6"/>
    <w:rsid w:val="00267DF2"/>
    <w:rsid w:val="00267E4F"/>
    <w:rsid w:val="00270A4A"/>
    <w:rsid w:val="00270C67"/>
    <w:rsid w:val="0027166C"/>
    <w:rsid w:val="00271EA6"/>
    <w:rsid w:val="002729BF"/>
    <w:rsid w:val="00273299"/>
    <w:rsid w:val="002733C7"/>
    <w:rsid w:val="00273594"/>
    <w:rsid w:val="002750A0"/>
    <w:rsid w:val="00275247"/>
    <w:rsid w:val="002777BB"/>
    <w:rsid w:val="00277B28"/>
    <w:rsid w:val="002809D4"/>
    <w:rsid w:val="00280C8B"/>
    <w:rsid w:val="00281295"/>
    <w:rsid w:val="0028268B"/>
    <w:rsid w:val="00282832"/>
    <w:rsid w:val="00283CBC"/>
    <w:rsid w:val="00283FA2"/>
    <w:rsid w:val="002852CE"/>
    <w:rsid w:val="00285551"/>
    <w:rsid w:val="00286739"/>
    <w:rsid w:val="002875B2"/>
    <w:rsid w:val="0028791F"/>
    <w:rsid w:val="0029016A"/>
    <w:rsid w:val="002901C9"/>
    <w:rsid w:val="0029143C"/>
    <w:rsid w:val="0029175E"/>
    <w:rsid w:val="00291A36"/>
    <w:rsid w:val="00291EB6"/>
    <w:rsid w:val="00292E73"/>
    <w:rsid w:val="002932B4"/>
    <w:rsid w:val="002936F7"/>
    <w:rsid w:val="00293A81"/>
    <w:rsid w:val="00294236"/>
    <w:rsid w:val="00295591"/>
    <w:rsid w:val="002958EA"/>
    <w:rsid w:val="002967F4"/>
    <w:rsid w:val="00296A25"/>
    <w:rsid w:val="00296BDF"/>
    <w:rsid w:val="00296CF3"/>
    <w:rsid w:val="00296EE4"/>
    <w:rsid w:val="00297054"/>
    <w:rsid w:val="00297DCC"/>
    <w:rsid w:val="002A0BA0"/>
    <w:rsid w:val="002A10CF"/>
    <w:rsid w:val="002A189E"/>
    <w:rsid w:val="002A1D7C"/>
    <w:rsid w:val="002A23FC"/>
    <w:rsid w:val="002A4363"/>
    <w:rsid w:val="002A4866"/>
    <w:rsid w:val="002A4909"/>
    <w:rsid w:val="002A4A5A"/>
    <w:rsid w:val="002A66CB"/>
    <w:rsid w:val="002A680D"/>
    <w:rsid w:val="002A6BB6"/>
    <w:rsid w:val="002A730B"/>
    <w:rsid w:val="002B069A"/>
    <w:rsid w:val="002B2921"/>
    <w:rsid w:val="002B3016"/>
    <w:rsid w:val="002B350F"/>
    <w:rsid w:val="002B4795"/>
    <w:rsid w:val="002B4D8B"/>
    <w:rsid w:val="002B4EDE"/>
    <w:rsid w:val="002B579F"/>
    <w:rsid w:val="002B6407"/>
    <w:rsid w:val="002B68A5"/>
    <w:rsid w:val="002B7141"/>
    <w:rsid w:val="002B78DD"/>
    <w:rsid w:val="002B7E10"/>
    <w:rsid w:val="002C07C4"/>
    <w:rsid w:val="002C1016"/>
    <w:rsid w:val="002C1A9A"/>
    <w:rsid w:val="002C4B11"/>
    <w:rsid w:val="002C52B2"/>
    <w:rsid w:val="002C5506"/>
    <w:rsid w:val="002C5528"/>
    <w:rsid w:val="002C6DB7"/>
    <w:rsid w:val="002C706C"/>
    <w:rsid w:val="002C788C"/>
    <w:rsid w:val="002D0607"/>
    <w:rsid w:val="002D086F"/>
    <w:rsid w:val="002D0B7B"/>
    <w:rsid w:val="002D0EEF"/>
    <w:rsid w:val="002D1AF3"/>
    <w:rsid w:val="002D39F5"/>
    <w:rsid w:val="002D4709"/>
    <w:rsid w:val="002D4ACD"/>
    <w:rsid w:val="002D4DD8"/>
    <w:rsid w:val="002D540B"/>
    <w:rsid w:val="002D566A"/>
    <w:rsid w:val="002D5C26"/>
    <w:rsid w:val="002D62FC"/>
    <w:rsid w:val="002D65F6"/>
    <w:rsid w:val="002D6A16"/>
    <w:rsid w:val="002D7875"/>
    <w:rsid w:val="002D7ADE"/>
    <w:rsid w:val="002D7F4A"/>
    <w:rsid w:val="002E03B1"/>
    <w:rsid w:val="002E0652"/>
    <w:rsid w:val="002E0A05"/>
    <w:rsid w:val="002E0AB5"/>
    <w:rsid w:val="002E2349"/>
    <w:rsid w:val="002E2508"/>
    <w:rsid w:val="002E3589"/>
    <w:rsid w:val="002E38E4"/>
    <w:rsid w:val="002E4196"/>
    <w:rsid w:val="002E4455"/>
    <w:rsid w:val="002E4ED0"/>
    <w:rsid w:val="002E536D"/>
    <w:rsid w:val="002E56AF"/>
    <w:rsid w:val="002E57E3"/>
    <w:rsid w:val="002E5D69"/>
    <w:rsid w:val="002E674B"/>
    <w:rsid w:val="002E76D9"/>
    <w:rsid w:val="002E77A6"/>
    <w:rsid w:val="002F0168"/>
    <w:rsid w:val="002F02DF"/>
    <w:rsid w:val="002F0314"/>
    <w:rsid w:val="002F0A5F"/>
    <w:rsid w:val="002F0D07"/>
    <w:rsid w:val="002F34AC"/>
    <w:rsid w:val="002F3F27"/>
    <w:rsid w:val="002F4094"/>
    <w:rsid w:val="002F4932"/>
    <w:rsid w:val="002F4D63"/>
    <w:rsid w:val="002F53C2"/>
    <w:rsid w:val="002F5787"/>
    <w:rsid w:val="002F63AD"/>
    <w:rsid w:val="002F76E4"/>
    <w:rsid w:val="00300236"/>
    <w:rsid w:val="00301E5E"/>
    <w:rsid w:val="0030239C"/>
    <w:rsid w:val="00302CFD"/>
    <w:rsid w:val="00302E84"/>
    <w:rsid w:val="00303A26"/>
    <w:rsid w:val="003043C5"/>
    <w:rsid w:val="00304E7C"/>
    <w:rsid w:val="00305FBA"/>
    <w:rsid w:val="0030696F"/>
    <w:rsid w:val="00306C19"/>
    <w:rsid w:val="00306EBD"/>
    <w:rsid w:val="00311AAE"/>
    <w:rsid w:val="00311D7F"/>
    <w:rsid w:val="00312C98"/>
    <w:rsid w:val="003137E2"/>
    <w:rsid w:val="003139E4"/>
    <w:rsid w:val="00313E01"/>
    <w:rsid w:val="00314734"/>
    <w:rsid w:val="00314D93"/>
    <w:rsid w:val="00315F83"/>
    <w:rsid w:val="0031666A"/>
    <w:rsid w:val="00316F9A"/>
    <w:rsid w:val="003172E5"/>
    <w:rsid w:val="0031769D"/>
    <w:rsid w:val="003201A8"/>
    <w:rsid w:val="003202F9"/>
    <w:rsid w:val="00320C1F"/>
    <w:rsid w:val="0032206A"/>
    <w:rsid w:val="00322322"/>
    <w:rsid w:val="00322D1B"/>
    <w:rsid w:val="00322E4F"/>
    <w:rsid w:val="00322F1C"/>
    <w:rsid w:val="00323010"/>
    <w:rsid w:val="003248FB"/>
    <w:rsid w:val="0032680E"/>
    <w:rsid w:val="0032711C"/>
    <w:rsid w:val="00327137"/>
    <w:rsid w:val="003271BD"/>
    <w:rsid w:val="0032734C"/>
    <w:rsid w:val="003273E1"/>
    <w:rsid w:val="00327BB2"/>
    <w:rsid w:val="0033060C"/>
    <w:rsid w:val="00330B9F"/>
    <w:rsid w:val="0033119E"/>
    <w:rsid w:val="003319BB"/>
    <w:rsid w:val="00331E06"/>
    <w:rsid w:val="00332780"/>
    <w:rsid w:val="00333E48"/>
    <w:rsid w:val="00334342"/>
    <w:rsid w:val="00334997"/>
    <w:rsid w:val="00334AE2"/>
    <w:rsid w:val="00335333"/>
    <w:rsid w:val="0033630C"/>
    <w:rsid w:val="00337033"/>
    <w:rsid w:val="003377C8"/>
    <w:rsid w:val="0033794D"/>
    <w:rsid w:val="00337C61"/>
    <w:rsid w:val="00340089"/>
    <w:rsid w:val="00340416"/>
    <w:rsid w:val="003407F2"/>
    <w:rsid w:val="00341C39"/>
    <w:rsid w:val="0034339C"/>
    <w:rsid w:val="0034440F"/>
    <w:rsid w:val="0034471E"/>
    <w:rsid w:val="00345514"/>
    <w:rsid w:val="00345A0D"/>
    <w:rsid w:val="003464F4"/>
    <w:rsid w:val="00346742"/>
    <w:rsid w:val="003477DE"/>
    <w:rsid w:val="00347E22"/>
    <w:rsid w:val="003506A0"/>
    <w:rsid w:val="00350B15"/>
    <w:rsid w:val="00351F48"/>
    <w:rsid w:val="0035206C"/>
    <w:rsid w:val="00353243"/>
    <w:rsid w:val="00353868"/>
    <w:rsid w:val="00353E3A"/>
    <w:rsid w:val="00354267"/>
    <w:rsid w:val="00355318"/>
    <w:rsid w:val="00356178"/>
    <w:rsid w:val="003561D7"/>
    <w:rsid w:val="003565E6"/>
    <w:rsid w:val="003566E3"/>
    <w:rsid w:val="00356ABC"/>
    <w:rsid w:val="00356DFC"/>
    <w:rsid w:val="003573AE"/>
    <w:rsid w:val="00357AA6"/>
    <w:rsid w:val="00357CC0"/>
    <w:rsid w:val="00357DDA"/>
    <w:rsid w:val="00360ABE"/>
    <w:rsid w:val="00360B50"/>
    <w:rsid w:val="003620C8"/>
    <w:rsid w:val="00362659"/>
    <w:rsid w:val="003637C0"/>
    <w:rsid w:val="0036395E"/>
    <w:rsid w:val="003639B6"/>
    <w:rsid w:val="00364F72"/>
    <w:rsid w:val="003664DD"/>
    <w:rsid w:val="00367035"/>
    <w:rsid w:val="00370173"/>
    <w:rsid w:val="00370AB0"/>
    <w:rsid w:val="00371364"/>
    <w:rsid w:val="00372549"/>
    <w:rsid w:val="0037369C"/>
    <w:rsid w:val="003737C8"/>
    <w:rsid w:val="003740A0"/>
    <w:rsid w:val="003743B4"/>
    <w:rsid w:val="003743F9"/>
    <w:rsid w:val="003749B5"/>
    <w:rsid w:val="00374E8E"/>
    <w:rsid w:val="00376315"/>
    <w:rsid w:val="00376E92"/>
    <w:rsid w:val="003776B9"/>
    <w:rsid w:val="00380723"/>
    <w:rsid w:val="00380C43"/>
    <w:rsid w:val="0038139A"/>
    <w:rsid w:val="0038142C"/>
    <w:rsid w:val="00382428"/>
    <w:rsid w:val="00382704"/>
    <w:rsid w:val="003827D3"/>
    <w:rsid w:val="0038367B"/>
    <w:rsid w:val="0038373D"/>
    <w:rsid w:val="00384291"/>
    <w:rsid w:val="003858CD"/>
    <w:rsid w:val="003860C8"/>
    <w:rsid w:val="00386331"/>
    <w:rsid w:val="0038698E"/>
    <w:rsid w:val="003869E6"/>
    <w:rsid w:val="00386D0F"/>
    <w:rsid w:val="00387AB3"/>
    <w:rsid w:val="00387ABF"/>
    <w:rsid w:val="00387B18"/>
    <w:rsid w:val="0039065F"/>
    <w:rsid w:val="00390F89"/>
    <w:rsid w:val="00391895"/>
    <w:rsid w:val="00391C3F"/>
    <w:rsid w:val="003927A2"/>
    <w:rsid w:val="00392ACE"/>
    <w:rsid w:val="00392B2D"/>
    <w:rsid w:val="00393662"/>
    <w:rsid w:val="003942A2"/>
    <w:rsid w:val="00394391"/>
    <w:rsid w:val="0039471F"/>
    <w:rsid w:val="00394918"/>
    <w:rsid w:val="003951C2"/>
    <w:rsid w:val="003956DF"/>
    <w:rsid w:val="00396241"/>
    <w:rsid w:val="0039744D"/>
    <w:rsid w:val="00397FA1"/>
    <w:rsid w:val="003A0607"/>
    <w:rsid w:val="003A20CC"/>
    <w:rsid w:val="003A2107"/>
    <w:rsid w:val="003A23FE"/>
    <w:rsid w:val="003A6463"/>
    <w:rsid w:val="003A684C"/>
    <w:rsid w:val="003A69F2"/>
    <w:rsid w:val="003A6C87"/>
    <w:rsid w:val="003A6E35"/>
    <w:rsid w:val="003A6F68"/>
    <w:rsid w:val="003A723F"/>
    <w:rsid w:val="003A7309"/>
    <w:rsid w:val="003B0B8E"/>
    <w:rsid w:val="003B254C"/>
    <w:rsid w:val="003B275A"/>
    <w:rsid w:val="003B2C7C"/>
    <w:rsid w:val="003B33EE"/>
    <w:rsid w:val="003B454A"/>
    <w:rsid w:val="003B48E1"/>
    <w:rsid w:val="003B5A2C"/>
    <w:rsid w:val="003C0A2F"/>
    <w:rsid w:val="003C1684"/>
    <w:rsid w:val="003C1E47"/>
    <w:rsid w:val="003C24F5"/>
    <w:rsid w:val="003C4088"/>
    <w:rsid w:val="003C4D5C"/>
    <w:rsid w:val="003C5D33"/>
    <w:rsid w:val="003C6FFD"/>
    <w:rsid w:val="003C756F"/>
    <w:rsid w:val="003D03C9"/>
    <w:rsid w:val="003D09EB"/>
    <w:rsid w:val="003D0C0F"/>
    <w:rsid w:val="003D10CF"/>
    <w:rsid w:val="003D1718"/>
    <w:rsid w:val="003D1E09"/>
    <w:rsid w:val="003D30A4"/>
    <w:rsid w:val="003D3168"/>
    <w:rsid w:val="003D3A04"/>
    <w:rsid w:val="003D43B3"/>
    <w:rsid w:val="003D44CE"/>
    <w:rsid w:val="003D4A4D"/>
    <w:rsid w:val="003D5481"/>
    <w:rsid w:val="003D5758"/>
    <w:rsid w:val="003D5B2F"/>
    <w:rsid w:val="003D5E22"/>
    <w:rsid w:val="003D5E2E"/>
    <w:rsid w:val="003D6832"/>
    <w:rsid w:val="003E106D"/>
    <w:rsid w:val="003E15A2"/>
    <w:rsid w:val="003E1825"/>
    <w:rsid w:val="003E2253"/>
    <w:rsid w:val="003E2690"/>
    <w:rsid w:val="003E307A"/>
    <w:rsid w:val="003E3BD6"/>
    <w:rsid w:val="003E3CAF"/>
    <w:rsid w:val="003E532D"/>
    <w:rsid w:val="003E5ECD"/>
    <w:rsid w:val="003E6C9D"/>
    <w:rsid w:val="003F04E9"/>
    <w:rsid w:val="003F148D"/>
    <w:rsid w:val="003F3F53"/>
    <w:rsid w:val="003F5036"/>
    <w:rsid w:val="003F5288"/>
    <w:rsid w:val="003F6037"/>
    <w:rsid w:val="003F606E"/>
    <w:rsid w:val="003F7619"/>
    <w:rsid w:val="00400606"/>
    <w:rsid w:val="00400B42"/>
    <w:rsid w:val="00401DFB"/>
    <w:rsid w:val="00401FF6"/>
    <w:rsid w:val="00402208"/>
    <w:rsid w:val="00402488"/>
    <w:rsid w:val="00402677"/>
    <w:rsid w:val="0040344B"/>
    <w:rsid w:val="0040358C"/>
    <w:rsid w:val="004041DC"/>
    <w:rsid w:val="004044E0"/>
    <w:rsid w:val="0040484C"/>
    <w:rsid w:val="0040498B"/>
    <w:rsid w:val="00404FFA"/>
    <w:rsid w:val="00405D0C"/>
    <w:rsid w:val="00406983"/>
    <w:rsid w:val="00406F5C"/>
    <w:rsid w:val="00407D7F"/>
    <w:rsid w:val="004113FC"/>
    <w:rsid w:val="0041161F"/>
    <w:rsid w:val="00411F34"/>
    <w:rsid w:val="004122CF"/>
    <w:rsid w:val="004127BD"/>
    <w:rsid w:val="00413F03"/>
    <w:rsid w:val="004144BB"/>
    <w:rsid w:val="00415248"/>
    <w:rsid w:val="004154CD"/>
    <w:rsid w:val="0041708A"/>
    <w:rsid w:val="0041758A"/>
    <w:rsid w:val="00417F28"/>
    <w:rsid w:val="0042038F"/>
    <w:rsid w:val="00420A95"/>
    <w:rsid w:val="00421353"/>
    <w:rsid w:val="00421824"/>
    <w:rsid w:val="00422592"/>
    <w:rsid w:val="00422CC9"/>
    <w:rsid w:val="00422EA3"/>
    <w:rsid w:val="00424CF8"/>
    <w:rsid w:val="00424E58"/>
    <w:rsid w:val="00424EAC"/>
    <w:rsid w:val="004255A3"/>
    <w:rsid w:val="00425F69"/>
    <w:rsid w:val="004260E0"/>
    <w:rsid w:val="00426333"/>
    <w:rsid w:val="00426445"/>
    <w:rsid w:val="00426C34"/>
    <w:rsid w:val="00426D31"/>
    <w:rsid w:val="004277B5"/>
    <w:rsid w:val="0042793C"/>
    <w:rsid w:val="004305E4"/>
    <w:rsid w:val="00430DAF"/>
    <w:rsid w:val="00430F5F"/>
    <w:rsid w:val="004325F0"/>
    <w:rsid w:val="0043284E"/>
    <w:rsid w:val="00433513"/>
    <w:rsid w:val="00433627"/>
    <w:rsid w:val="0043468C"/>
    <w:rsid w:val="00434BCE"/>
    <w:rsid w:val="00434C00"/>
    <w:rsid w:val="00435AB2"/>
    <w:rsid w:val="0043616F"/>
    <w:rsid w:val="004369A9"/>
    <w:rsid w:val="00436BB7"/>
    <w:rsid w:val="00437006"/>
    <w:rsid w:val="00437752"/>
    <w:rsid w:val="004379FA"/>
    <w:rsid w:val="004407CC"/>
    <w:rsid w:val="00440800"/>
    <w:rsid w:val="00441769"/>
    <w:rsid w:val="0044216B"/>
    <w:rsid w:val="00442791"/>
    <w:rsid w:val="00443D35"/>
    <w:rsid w:val="0044463D"/>
    <w:rsid w:val="00444CE4"/>
    <w:rsid w:val="00444D86"/>
    <w:rsid w:val="004456F9"/>
    <w:rsid w:val="00445C75"/>
    <w:rsid w:val="00446B63"/>
    <w:rsid w:val="00446C56"/>
    <w:rsid w:val="0044744D"/>
    <w:rsid w:val="0045027F"/>
    <w:rsid w:val="00450281"/>
    <w:rsid w:val="00450369"/>
    <w:rsid w:val="0045069A"/>
    <w:rsid w:val="0045095B"/>
    <w:rsid w:val="00452579"/>
    <w:rsid w:val="00452786"/>
    <w:rsid w:val="00452E79"/>
    <w:rsid w:val="004536B8"/>
    <w:rsid w:val="004545D0"/>
    <w:rsid w:val="00454D3C"/>
    <w:rsid w:val="00454FD2"/>
    <w:rsid w:val="00455ABC"/>
    <w:rsid w:val="00456E52"/>
    <w:rsid w:val="004577B2"/>
    <w:rsid w:val="00457B2F"/>
    <w:rsid w:val="00460729"/>
    <w:rsid w:val="0046081F"/>
    <w:rsid w:val="00460A7B"/>
    <w:rsid w:val="00460A87"/>
    <w:rsid w:val="00462281"/>
    <w:rsid w:val="004622AD"/>
    <w:rsid w:val="00463413"/>
    <w:rsid w:val="004636A3"/>
    <w:rsid w:val="00463EA4"/>
    <w:rsid w:val="00465F1A"/>
    <w:rsid w:val="00465F47"/>
    <w:rsid w:val="00466510"/>
    <w:rsid w:val="00466C25"/>
    <w:rsid w:val="004675C2"/>
    <w:rsid w:val="0047012A"/>
    <w:rsid w:val="004702E1"/>
    <w:rsid w:val="00470768"/>
    <w:rsid w:val="00470CD2"/>
    <w:rsid w:val="0047106A"/>
    <w:rsid w:val="00471499"/>
    <w:rsid w:val="004715E0"/>
    <w:rsid w:val="0047210D"/>
    <w:rsid w:val="00472D68"/>
    <w:rsid w:val="00472F70"/>
    <w:rsid w:val="004741A1"/>
    <w:rsid w:val="00474248"/>
    <w:rsid w:val="004749BD"/>
    <w:rsid w:val="0047511D"/>
    <w:rsid w:val="0047530B"/>
    <w:rsid w:val="00475EF7"/>
    <w:rsid w:val="0047605F"/>
    <w:rsid w:val="00476F3E"/>
    <w:rsid w:val="004820EC"/>
    <w:rsid w:val="0048369D"/>
    <w:rsid w:val="004838AE"/>
    <w:rsid w:val="00483C60"/>
    <w:rsid w:val="004841AA"/>
    <w:rsid w:val="004842FB"/>
    <w:rsid w:val="00484E85"/>
    <w:rsid w:val="00485214"/>
    <w:rsid w:val="0048575B"/>
    <w:rsid w:val="00485CE2"/>
    <w:rsid w:val="00485E39"/>
    <w:rsid w:val="00486609"/>
    <w:rsid w:val="004875F3"/>
    <w:rsid w:val="004876A2"/>
    <w:rsid w:val="00487775"/>
    <w:rsid w:val="00487819"/>
    <w:rsid w:val="0049025B"/>
    <w:rsid w:val="0049043A"/>
    <w:rsid w:val="0049165E"/>
    <w:rsid w:val="00491BD0"/>
    <w:rsid w:val="00491CB1"/>
    <w:rsid w:val="00491F8A"/>
    <w:rsid w:val="00492AF1"/>
    <w:rsid w:val="00495849"/>
    <w:rsid w:val="004958F7"/>
    <w:rsid w:val="00495A1A"/>
    <w:rsid w:val="0049624A"/>
    <w:rsid w:val="0049630B"/>
    <w:rsid w:val="004977D3"/>
    <w:rsid w:val="00497EF4"/>
    <w:rsid w:val="004A07CE"/>
    <w:rsid w:val="004A16A8"/>
    <w:rsid w:val="004A1DEF"/>
    <w:rsid w:val="004A2056"/>
    <w:rsid w:val="004A51E9"/>
    <w:rsid w:val="004A654A"/>
    <w:rsid w:val="004A69FB"/>
    <w:rsid w:val="004A6BFC"/>
    <w:rsid w:val="004B0A96"/>
    <w:rsid w:val="004B0D14"/>
    <w:rsid w:val="004B0D72"/>
    <w:rsid w:val="004B160F"/>
    <w:rsid w:val="004B244E"/>
    <w:rsid w:val="004B2899"/>
    <w:rsid w:val="004B291C"/>
    <w:rsid w:val="004B2E36"/>
    <w:rsid w:val="004B3788"/>
    <w:rsid w:val="004B401A"/>
    <w:rsid w:val="004B4447"/>
    <w:rsid w:val="004B50D9"/>
    <w:rsid w:val="004B5545"/>
    <w:rsid w:val="004B573E"/>
    <w:rsid w:val="004B6306"/>
    <w:rsid w:val="004B6AB4"/>
    <w:rsid w:val="004B70E0"/>
    <w:rsid w:val="004B70F3"/>
    <w:rsid w:val="004B7BC2"/>
    <w:rsid w:val="004C015B"/>
    <w:rsid w:val="004C0348"/>
    <w:rsid w:val="004C1416"/>
    <w:rsid w:val="004C1437"/>
    <w:rsid w:val="004C1C2D"/>
    <w:rsid w:val="004C26CB"/>
    <w:rsid w:val="004C39F2"/>
    <w:rsid w:val="004C4072"/>
    <w:rsid w:val="004C43EE"/>
    <w:rsid w:val="004C443D"/>
    <w:rsid w:val="004C44FA"/>
    <w:rsid w:val="004C4755"/>
    <w:rsid w:val="004C5857"/>
    <w:rsid w:val="004C6510"/>
    <w:rsid w:val="004C67FD"/>
    <w:rsid w:val="004C6AEC"/>
    <w:rsid w:val="004C6BA2"/>
    <w:rsid w:val="004D0B22"/>
    <w:rsid w:val="004D0CD7"/>
    <w:rsid w:val="004D188D"/>
    <w:rsid w:val="004D18E3"/>
    <w:rsid w:val="004D1B60"/>
    <w:rsid w:val="004D21F5"/>
    <w:rsid w:val="004D357E"/>
    <w:rsid w:val="004D37AA"/>
    <w:rsid w:val="004D3D9C"/>
    <w:rsid w:val="004D40BE"/>
    <w:rsid w:val="004D51A5"/>
    <w:rsid w:val="004D5415"/>
    <w:rsid w:val="004D5662"/>
    <w:rsid w:val="004D67AB"/>
    <w:rsid w:val="004D6C9C"/>
    <w:rsid w:val="004D6CA2"/>
    <w:rsid w:val="004D7250"/>
    <w:rsid w:val="004D7557"/>
    <w:rsid w:val="004D785A"/>
    <w:rsid w:val="004D7B57"/>
    <w:rsid w:val="004E1753"/>
    <w:rsid w:val="004E1EE1"/>
    <w:rsid w:val="004E2364"/>
    <w:rsid w:val="004E2CF1"/>
    <w:rsid w:val="004E3290"/>
    <w:rsid w:val="004E3875"/>
    <w:rsid w:val="004E4E30"/>
    <w:rsid w:val="004E544E"/>
    <w:rsid w:val="004E5BA4"/>
    <w:rsid w:val="004E6654"/>
    <w:rsid w:val="004E6C6B"/>
    <w:rsid w:val="004E7813"/>
    <w:rsid w:val="004E78DB"/>
    <w:rsid w:val="004F050C"/>
    <w:rsid w:val="004F0D4A"/>
    <w:rsid w:val="004F0F92"/>
    <w:rsid w:val="004F2540"/>
    <w:rsid w:val="004F3444"/>
    <w:rsid w:val="004F3DC5"/>
    <w:rsid w:val="004F4B50"/>
    <w:rsid w:val="004F544E"/>
    <w:rsid w:val="004F5654"/>
    <w:rsid w:val="004F6678"/>
    <w:rsid w:val="004F6CE9"/>
    <w:rsid w:val="004F6D83"/>
    <w:rsid w:val="004F7814"/>
    <w:rsid w:val="00500898"/>
    <w:rsid w:val="005031B6"/>
    <w:rsid w:val="00503878"/>
    <w:rsid w:val="00503BC4"/>
    <w:rsid w:val="005047FC"/>
    <w:rsid w:val="00504963"/>
    <w:rsid w:val="00504B2E"/>
    <w:rsid w:val="0050519D"/>
    <w:rsid w:val="00505308"/>
    <w:rsid w:val="005065B1"/>
    <w:rsid w:val="00506B9A"/>
    <w:rsid w:val="0050751C"/>
    <w:rsid w:val="0050790D"/>
    <w:rsid w:val="005106C5"/>
    <w:rsid w:val="00511112"/>
    <w:rsid w:val="00511837"/>
    <w:rsid w:val="00511FEE"/>
    <w:rsid w:val="00512A39"/>
    <w:rsid w:val="005131D2"/>
    <w:rsid w:val="0051337A"/>
    <w:rsid w:val="0051431A"/>
    <w:rsid w:val="00515AB0"/>
    <w:rsid w:val="00515FEE"/>
    <w:rsid w:val="00516D39"/>
    <w:rsid w:val="00516FC2"/>
    <w:rsid w:val="00517318"/>
    <w:rsid w:val="0051738E"/>
    <w:rsid w:val="00517ECD"/>
    <w:rsid w:val="00520486"/>
    <w:rsid w:val="005205D7"/>
    <w:rsid w:val="00520968"/>
    <w:rsid w:val="00521535"/>
    <w:rsid w:val="005216E1"/>
    <w:rsid w:val="00521ED9"/>
    <w:rsid w:val="00523A01"/>
    <w:rsid w:val="005240D9"/>
    <w:rsid w:val="005242FC"/>
    <w:rsid w:val="00524552"/>
    <w:rsid w:val="0052492E"/>
    <w:rsid w:val="005249F3"/>
    <w:rsid w:val="00524EC8"/>
    <w:rsid w:val="005257C1"/>
    <w:rsid w:val="005257D2"/>
    <w:rsid w:val="00525DDF"/>
    <w:rsid w:val="00526FF1"/>
    <w:rsid w:val="00527124"/>
    <w:rsid w:val="0052786F"/>
    <w:rsid w:val="00530122"/>
    <w:rsid w:val="0053033E"/>
    <w:rsid w:val="00530706"/>
    <w:rsid w:val="00530E9C"/>
    <w:rsid w:val="005328D2"/>
    <w:rsid w:val="00532B96"/>
    <w:rsid w:val="00532DA0"/>
    <w:rsid w:val="00532E03"/>
    <w:rsid w:val="00532F0E"/>
    <w:rsid w:val="00534396"/>
    <w:rsid w:val="005347F9"/>
    <w:rsid w:val="00535B95"/>
    <w:rsid w:val="00535BE3"/>
    <w:rsid w:val="00535C4C"/>
    <w:rsid w:val="00536C83"/>
    <w:rsid w:val="00536D2E"/>
    <w:rsid w:val="00537C0F"/>
    <w:rsid w:val="00537CD5"/>
    <w:rsid w:val="00537FAD"/>
    <w:rsid w:val="005408CF"/>
    <w:rsid w:val="00540DD4"/>
    <w:rsid w:val="0054105C"/>
    <w:rsid w:val="00541090"/>
    <w:rsid w:val="00541B50"/>
    <w:rsid w:val="005429F1"/>
    <w:rsid w:val="00542D4D"/>
    <w:rsid w:val="00543106"/>
    <w:rsid w:val="00543361"/>
    <w:rsid w:val="00543B44"/>
    <w:rsid w:val="00543EF1"/>
    <w:rsid w:val="00543FAD"/>
    <w:rsid w:val="00543FC0"/>
    <w:rsid w:val="00544E5D"/>
    <w:rsid w:val="005453C3"/>
    <w:rsid w:val="00545C2F"/>
    <w:rsid w:val="00546330"/>
    <w:rsid w:val="00546686"/>
    <w:rsid w:val="00546798"/>
    <w:rsid w:val="00546FE0"/>
    <w:rsid w:val="005477B8"/>
    <w:rsid w:val="00547BEC"/>
    <w:rsid w:val="00550818"/>
    <w:rsid w:val="00550DC6"/>
    <w:rsid w:val="00551DC7"/>
    <w:rsid w:val="00551E36"/>
    <w:rsid w:val="00552465"/>
    <w:rsid w:val="0055340F"/>
    <w:rsid w:val="00554A99"/>
    <w:rsid w:val="00554F55"/>
    <w:rsid w:val="00555216"/>
    <w:rsid w:val="005557CF"/>
    <w:rsid w:val="00556005"/>
    <w:rsid w:val="0055648F"/>
    <w:rsid w:val="00557532"/>
    <w:rsid w:val="005579B4"/>
    <w:rsid w:val="00557BF1"/>
    <w:rsid w:val="0056067D"/>
    <w:rsid w:val="00560EBA"/>
    <w:rsid w:val="0056380E"/>
    <w:rsid w:val="005649CD"/>
    <w:rsid w:val="00567380"/>
    <w:rsid w:val="005677E7"/>
    <w:rsid w:val="005700D5"/>
    <w:rsid w:val="005703A7"/>
    <w:rsid w:val="0057087E"/>
    <w:rsid w:val="005709E8"/>
    <w:rsid w:val="00571364"/>
    <w:rsid w:val="0057177A"/>
    <w:rsid w:val="005728ED"/>
    <w:rsid w:val="00572B45"/>
    <w:rsid w:val="00573FF2"/>
    <w:rsid w:val="00576A20"/>
    <w:rsid w:val="00576D45"/>
    <w:rsid w:val="005771D2"/>
    <w:rsid w:val="00577465"/>
    <w:rsid w:val="00577A43"/>
    <w:rsid w:val="00577FAF"/>
    <w:rsid w:val="00581E9C"/>
    <w:rsid w:val="00582052"/>
    <w:rsid w:val="00582CF8"/>
    <w:rsid w:val="00584247"/>
    <w:rsid w:val="005847BF"/>
    <w:rsid w:val="005859EF"/>
    <w:rsid w:val="00585E31"/>
    <w:rsid w:val="00586204"/>
    <w:rsid w:val="00586365"/>
    <w:rsid w:val="005863B9"/>
    <w:rsid w:val="005865C6"/>
    <w:rsid w:val="0059080E"/>
    <w:rsid w:val="005909B4"/>
    <w:rsid w:val="00590C18"/>
    <w:rsid w:val="00590D43"/>
    <w:rsid w:val="0059137A"/>
    <w:rsid w:val="005913EB"/>
    <w:rsid w:val="00591459"/>
    <w:rsid w:val="00593224"/>
    <w:rsid w:val="00593721"/>
    <w:rsid w:val="00593829"/>
    <w:rsid w:val="00593FB5"/>
    <w:rsid w:val="00594A5E"/>
    <w:rsid w:val="00594C28"/>
    <w:rsid w:val="0059552A"/>
    <w:rsid w:val="00595682"/>
    <w:rsid w:val="00595F32"/>
    <w:rsid w:val="00596999"/>
    <w:rsid w:val="005A02B2"/>
    <w:rsid w:val="005A0416"/>
    <w:rsid w:val="005A0945"/>
    <w:rsid w:val="005A15DD"/>
    <w:rsid w:val="005A1B93"/>
    <w:rsid w:val="005A2365"/>
    <w:rsid w:val="005A239F"/>
    <w:rsid w:val="005A2A01"/>
    <w:rsid w:val="005A308C"/>
    <w:rsid w:val="005A3D30"/>
    <w:rsid w:val="005A512F"/>
    <w:rsid w:val="005A59A0"/>
    <w:rsid w:val="005A5DA5"/>
    <w:rsid w:val="005A61AA"/>
    <w:rsid w:val="005A7B55"/>
    <w:rsid w:val="005B080C"/>
    <w:rsid w:val="005B0935"/>
    <w:rsid w:val="005B0F4C"/>
    <w:rsid w:val="005B1677"/>
    <w:rsid w:val="005B1895"/>
    <w:rsid w:val="005B35CB"/>
    <w:rsid w:val="005B3FFC"/>
    <w:rsid w:val="005B43DC"/>
    <w:rsid w:val="005B4CBF"/>
    <w:rsid w:val="005B5ECF"/>
    <w:rsid w:val="005B6DB5"/>
    <w:rsid w:val="005B7326"/>
    <w:rsid w:val="005C0C4D"/>
    <w:rsid w:val="005C1451"/>
    <w:rsid w:val="005C17D5"/>
    <w:rsid w:val="005C1B16"/>
    <w:rsid w:val="005C1BB1"/>
    <w:rsid w:val="005C3B40"/>
    <w:rsid w:val="005C4566"/>
    <w:rsid w:val="005C47C9"/>
    <w:rsid w:val="005C495C"/>
    <w:rsid w:val="005C4D4B"/>
    <w:rsid w:val="005C52C9"/>
    <w:rsid w:val="005C6D3F"/>
    <w:rsid w:val="005C7E1D"/>
    <w:rsid w:val="005D061E"/>
    <w:rsid w:val="005D15E9"/>
    <w:rsid w:val="005D1B6E"/>
    <w:rsid w:val="005D1CFA"/>
    <w:rsid w:val="005D2254"/>
    <w:rsid w:val="005D2283"/>
    <w:rsid w:val="005D2782"/>
    <w:rsid w:val="005D2841"/>
    <w:rsid w:val="005D2AC6"/>
    <w:rsid w:val="005D3F9F"/>
    <w:rsid w:val="005D465E"/>
    <w:rsid w:val="005D494F"/>
    <w:rsid w:val="005D4AF0"/>
    <w:rsid w:val="005D5981"/>
    <w:rsid w:val="005D6347"/>
    <w:rsid w:val="005D6A4F"/>
    <w:rsid w:val="005D6AE6"/>
    <w:rsid w:val="005D6CAC"/>
    <w:rsid w:val="005D6D01"/>
    <w:rsid w:val="005D70D7"/>
    <w:rsid w:val="005D736A"/>
    <w:rsid w:val="005D7AF3"/>
    <w:rsid w:val="005E0760"/>
    <w:rsid w:val="005E11B5"/>
    <w:rsid w:val="005E12AA"/>
    <w:rsid w:val="005E1707"/>
    <w:rsid w:val="005E281E"/>
    <w:rsid w:val="005E3838"/>
    <w:rsid w:val="005E43B0"/>
    <w:rsid w:val="005E5B7F"/>
    <w:rsid w:val="005E65BF"/>
    <w:rsid w:val="005E65D9"/>
    <w:rsid w:val="005E65E8"/>
    <w:rsid w:val="005E6E5B"/>
    <w:rsid w:val="005E7A18"/>
    <w:rsid w:val="005F05DB"/>
    <w:rsid w:val="005F0A75"/>
    <w:rsid w:val="005F1CAB"/>
    <w:rsid w:val="005F294A"/>
    <w:rsid w:val="005F43C4"/>
    <w:rsid w:val="005F4538"/>
    <w:rsid w:val="005F4CE8"/>
    <w:rsid w:val="005F5233"/>
    <w:rsid w:val="006002D0"/>
    <w:rsid w:val="00600357"/>
    <w:rsid w:val="00600738"/>
    <w:rsid w:val="0060100E"/>
    <w:rsid w:val="0060155A"/>
    <w:rsid w:val="00601848"/>
    <w:rsid w:val="00601862"/>
    <w:rsid w:val="00601FE8"/>
    <w:rsid w:val="00602D99"/>
    <w:rsid w:val="006038E1"/>
    <w:rsid w:val="00603FB6"/>
    <w:rsid w:val="0060404A"/>
    <w:rsid w:val="00604A3D"/>
    <w:rsid w:val="0060510D"/>
    <w:rsid w:val="00606AF7"/>
    <w:rsid w:val="00606C25"/>
    <w:rsid w:val="0060720B"/>
    <w:rsid w:val="0060744A"/>
    <w:rsid w:val="00607B38"/>
    <w:rsid w:val="00607F60"/>
    <w:rsid w:val="0061182F"/>
    <w:rsid w:val="00611B4A"/>
    <w:rsid w:val="006122DE"/>
    <w:rsid w:val="006129E4"/>
    <w:rsid w:val="00613158"/>
    <w:rsid w:val="006134ED"/>
    <w:rsid w:val="00613863"/>
    <w:rsid w:val="0061511C"/>
    <w:rsid w:val="006163E1"/>
    <w:rsid w:val="00617521"/>
    <w:rsid w:val="00617B58"/>
    <w:rsid w:val="00617F8B"/>
    <w:rsid w:val="00617FFE"/>
    <w:rsid w:val="006201D8"/>
    <w:rsid w:val="006201F7"/>
    <w:rsid w:val="006203F6"/>
    <w:rsid w:val="006209CE"/>
    <w:rsid w:val="00620E3F"/>
    <w:rsid w:val="00620F5A"/>
    <w:rsid w:val="00621C6C"/>
    <w:rsid w:val="00621F20"/>
    <w:rsid w:val="00622160"/>
    <w:rsid w:val="00622381"/>
    <w:rsid w:val="006225E8"/>
    <w:rsid w:val="00622E2A"/>
    <w:rsid w:val="006230DB"/>
    <w:rsid w:val="0062443A"/>
    <w:rsid w:val="00624899"/>
    <w:rsid w:val="00625380"/>
    <w:rsid w:val="0063068F"/>
    <w:rsid w:val="0063168E"/>
    <w:rsid w:val="0063171D"/>
    <w:rsid w:val="00631DC8"/>
    <w:rsid w:val="00632BA5"/>
    <w:rsid w:val="00632FB5"/>
    <w:rsid w:val="006334E7"/>
    <w:rsid w:val="00633C06"/>
    <w:rsid w:val="00634200"/>
    <w:rsid w:val="006343A6"/>
    <w:rsid w:val="00634BFA"/>
    <w:rsid w:val="00635062"/>
    <w:rsid w:val="00637716"/>
    <w:rsid w:val="006379F6"/>
    <w:rsid w:val="00640742"/>
    <w:rsid w:val="00640817"/>
    <w:rsid w:val="0064377B"/>
    <w:rsid w:val="00643DA9"/>
    <w:rsid w:val="00645213"/>
    <w:rsid w:val="00645311"/>
    <w:rsid w:val="0064552D"/>
    <w:rsid w:val="00645688"/>
    <w:rsid w:val="00645743"/>
    <w:rsid w:val="006459C5"/>
    <w:rsid w:val="00645F01"/>
    <w:rsid w:val="0064630F"/>
    <w:rsid w:val="00646595"/>
    <w:rsid w:val="00646638"/>
    <w:rsid w:val="00647464"/>
    <w:rsid w:val="00647555"/>
    <w:rsid w:val="006507EF"/>
    <w:rsid w:val="0065394D"/>
    <w:rsid w:val="00654311"/>
    <w:rsid w:val="006548FC"/>
    <w:rsid w:val="0065499E"/>
    <w:rsid w:val="0065548C"/>
    <w:rsid w:val="00656A3A"/>
    <w:rsid w:val="00656DF0"/>
    <w:rsid w:val="00660E64"/>
    <w:rsid w:val="00660F11"/>
    <w:rsid w:val="00661830"/>
    <w:rsid w:val="006618F6"/>
    <w:rsid w:val="006622E3"/>
    <w:rsid w:val="0066279E"/>
    <w:rsid w:val="00662EA7"/>
    <w:rsid w:val="006633CD"/>
    <w:rsid w:val="00665D40"/>
    <w:rsid w:val="00666EE8"/>
    <w:rsid w:val="006701DF"/>
    <w:rsid w:val="00671019"/>
    <w:rsid w:val="0067155D"/>
    <w:rsid w:val="006715C8"/>
    <w:rsid w:val="00671996"/>
    <w:rsid w:val="006725F0"/>
    <w:rsid w:val="006729D9"/>
    <w:rsid w:val="00672B21"/>
    <w:rsid w:val="00672FA3"/>
    <w:rsid w:val="00673007"/>
    <w:rsid w:val="006739C4"/>
    <w:rsid w:val="0067472D"/>
    <w:rsid w:val="0067474F"/>
    <w:rsid w:val="0067518E"/>
    <w:rsid w:val="00676564"/>
    <w:rsid w:val="006765B7"/>
    <w:rsid w:val="00676727"/>
    <w:rsid w:val="006774B5"/>
    <w:rsid w:val="0067758A"/>
    <w:rsid w:val="0067762C"/>
    <w:rsid w:val="00677654"/>
    <w:rsid w:val="00680687"/>
    <w:rsid w:val="0068089B"/>
    <w:rsid w:val="00680944"/>
    <w:rsid w:val="006809B5"/>
    <w:rsid w:val="006810C3"/>
    <w:rsid w:val="006815AE"/>
    <w:rsid w:val="00681ABC"/>
    <w:rsid w:val="0068216F"/>
    <w:rsid w:val="00682762"/>
    <w:rsid w:val="006827FC"/>
    <w:rsid w:val="0068292D"/>
    <w:rsid w:val="00682962"/>
    <w:rsid w:val="00682B40"/>
    <w:rsid w:val="0068385F"/>
    <w:rsid w:val="00684559"/>
    <w:rsid w:val="00684571"/>
    <w:rsid w:val="00684AFF"/>
    <w:rsid w:val="00684BC7"/>
    <w:rsid w:val="006859AB"/>
    <w:rsid w:val="00686261"/>
    <w:rsid w:val="00687642"/>
    <w:rsid w:val="006876DE"/>
    <w:rsid w:val="006877FC"/>
    <w:rsid w:val="00687B37"/>
    <w:rsid w:val="00687B48"/>
    <w:rsid w:val="00687B7E"/>
    <w:rsid w:val="006900B5"/>
    <w:rsid w:val="006909AB"/>
    <w:rsid w:val="0069176B"/>
    <w:rsid w:val="00692885"/>
    <w:rsid w:val="00692C94"/>
    <w:rsid w:val="0069357C"/>
    <w:rsid w:val="00693805"/>
    <w:rsid w:val="00693CC5"/>
    <w:rsid w:val="0069423A"/>
    <w:rsid w:val="0069462F"/>
    <w:rsid w:val="0069482E"/>
    <w:rsid w:val="00695E25"/>
    <w:rsid w:val="0069607F"/>
    <w:rsid w:val="006960E9"/>
    <w:rsid w:val="00696612"/>
    <w:rsid w:val="006968A7"/>
    <w:rsid w:val="00697F15"/>
    <w:rsid w:val="00697F8C"/>
    <w:rsid w:val="006A03A6"/>
    <w:rsid w:val="006A0539"/>
    <w:rsid w:val="006A0691"/>
    <w:rsid w:val="006A0AD3"/>
    <w:rsid w:val="006A11C5"/>
    <w:rsid w:val="006A1BE7"/>
    <w:rsid w:val="006A1C04"/>
    <w:rsid w:val="006A36F9"/>
    <w:rsid w:val="006A3B4C"/>
    <w:rsid w:val="006A3D52"/>
    <w:rsid w:val="006A4E72"/>
    <w:rsid w:val="006A5031"/>
    <w:rsid w:val="006A5BC5"/>
    <w:rsid w:val="006A6AB1"/>
    <w:rsid w:val="006A7719"/>
    <w:rsid w:val="006A7B16"/>
    <w:rsid w:val="006A7D36"/>
    <w:rsid w:val="006B0167"/>
    <w:rsid w:val="006B09BD"/>
    <w:rsid w:val="006B1027"/>
    <w:rsid w:val="006B120F"/>
    <w:rsid w:val="006B2CAD"/>
    <w:rsid w:val="006B2F0A"/>
    <w:rsid w:val="006B3173"/>
    <w:rsid w:val="006B3966"/>
    <w:rsid w:val="006B52C0"/>
    <w:rsid w:val="006B5799"/>
    <w:rsid w:val="006B6048"/>
    <w:rsid w:val="006B6203"/>
    <w:rsid w:val="006B6C05"/>
    <w:rsid w:val="006B6FC1"/>
    <w:rsid w:val="006B73CE"/>
    <w:rsid w:val="006B7780"/>
    <w:rsid w:val="006B79F3"/>
    <w:rsid w:val="006C0FE5"/>
    <w:rsid w:val="006C1232"/>
    <w:rsid w:val="006C185A"/>
    <w:rsid w:val="006C1988"/>
    <w:rsid w:val="006C1A98"/>
    <w:rsid w:val="006C27C7"/>
    <w:rsid w:val="006C4DAC"/>
    <w:rsid w:val="006C5300"/>
    <w:rsid w:val="006C5494"/>
    <w:rsid w:val="006C599C"/>
    <w:rsid w:val="006C6664"/>
    <w:rsid w:val="006C7030"/>
    <w:rsid w:val="006D063C"/>
    <w:rsid w:val="006D186B"/>
    <w:rsid w:val="006D1DF2"/>
    <w:rsid w:val="006D1E17"/>
    <w:rsid w:val="006D1FC0"/>
    <w:rsid w:val="006D2969"/>
    <w:rsid w:val="006D29D4"/>
    <w:rsid w:val="006D2DDD"/>
    <w:rsid w:val="006D30AF"/>
    <w:rsid w:val="006D34B0"/>
    <w:rsid w:val="006D36D0"/>
    <w:rsid w:val="006D47A3"/>
    <w:rsid w:val="006D47C6"/>
    <w:rsid w:val="006D4C31"/>
    <w:rsid w:val="006D4DAD"/>
    <w:rsid w:val="006D5029"/>
    <w:rsid w:val="006D560F"/>
    <w:rsid w:val="006D5C41"/>
    <w:rsid w:val="006D64B3"/>
    <w:rsid w:val="006D66FE"/>
    <w:rsid w:val="006D7E6A"/>
    <w:rsid w:val="006D7FAE"/>
    <w:rsid w:val="006E0555"/>
    <w:rsid w:val="006E05F6"/>
    <w:rsid w:val="006E09FB"/>
    <w:rsid w:val="006E0D8F"/>
    <w:rsid w:val="006E20CC"/>
    <w:rsid w:val="006E2CBC"/>
    <w:rsid w:val="006E2FAE"/>
    <w:rsid w:val="006E30E6"/>
    <w:rsid w:val="006E3A64"/>
    <w:rsid w:val="006E3D43"/>
    <w:rsid w:val="006E40BB"/>
    <w:rsid w:val="006E43F4"/>
    <w:rsid w:val="006E581B"/>
    <w:rsid w:val="006E59E2"/>
    <w:rsid w:val="006E7B22"/>
    <w:rsid w:val="006E7B55"/>
    <w:rsid w:val="006F0C58"/>
    <w:rsid w:val="006F1CFC"/>
    <w:rsid w:val="006F2030"/>
    <w:rsid w:val="006F2266"/>
    <w:rsid w:val="006F23C3"/>
    <w:rsid w:val="006F2605"/>
    <w:rsid w:val="006F280A"/>
    <w:rsid w:val="006F29B8"/>
    <w:rsid w:val="006F2E35"/>
    <w:rsid w:val="006F44FB"/>
    <w:rsid w:val="006F4ACD"/>
    <w:rsid w:val="006F5148"/>
    <w:rsid w:val="006F57B6"/>
    <w:rsid w:val="006F5DD1"/>
    <w:rsid w:val="006F5EE5"/>
    <w:rsid w:val="006F67A4"/>
    <w:rsid w:val="006F758A"/>
    <w:rsid w:val="006F7D95"/>
    <w:rsid w:val="006F7F20"/>
    <w:rsid w:val="00700AF2"/>
    <w:rsid w:val="00700CEC"/>
    <w:rsid w:val="0070121D"/>
    <w:rsid w:val="0070130B"/>
    <w:rsid w:val="007014CE"/>
    <w:rsid w:val="007017C5"/>
    <w:rsid w:val="00701E4D"/>
    <w:rsid w:val="007026FF"/>
    <w:rsid w:val="00702ADB"/>
    <w:rsid w:val="00703413"/>
    <w:rsid w:val="007034C6"/>
    <w:rsid w:val="00703ED7"/>
    <w:rsid w:val="00704D95"/>
    <w:rsid w:val="00705402"/>
    <w:rsid w:val="00705C17"/>
    <w:rsid w:val="00705D82"/>
    <w:rsid w:val="0070601C"/>
    <w:rsid w:val="007067E5"/>
    <w:rsid w:val="007068E7"/>
    <w:rsid w:val="00706C64"/>
    <w:rsid w:val="00707078"/>
    <w:rsid w:val="007070E3"/>
    <w:rsid w:val="007107A6"/>
    <w:rsid w:val="00710D11"/>
    <w:rsid w:val="007110C4"/>
    <w:rsid w:val="00711DBA"/>
    <w:rsid w:val="00712095"/>
    <w:rsid w:val="00712335"/>
    <w:rsid w:val="00712752"/>
    <w:rsid w:val="00712897"/>
    <w:rsid w:val="00712ADB"/>
    <w:rsid w:val="00712AE1"/>
    <w:rsid w:val="00712F4C"/>
    <w:rsid w:val="0071337F"/>
    <w:rsid w:val="0071363F"/>
    <w:rsid w:val="00714C85"/>
    <w:rsid w:val="0071759B"/>
    <w:rsid w:val="00717ADB"/>
    <w:rsid w:val="007208E1"/>
    <w:rsid w:val="00720A0E"/>
    <w:rsid w:val="00720CF6"/>
    <w:rsid w:val="007212E9"/>
    <w:rsid w:val="00722EB5"/>
    <w:rsid w:val="00723E91"/>
    <w:rsid w:val="00725B7A"/>
    <w:rsid w:val="00725BA5"/>
    <w:rsid w:val="00726063"/>
    <w:rsid w:val="00726131"/>
    <w:rsid w:val="007261B1"/>
    <w:rsid w:val="007266BF"/>
    <w:rsid w:val="00726A47"/>
    <w:rsid w:val="00727E01"/>
    <w:rsid w:val="00727EA5"/>
    <w:rsid w:val="007315DB"/>
    <w:rsid w:val="007327EE"/>
    <w:rsid w:val="00735554"/>
    <w:rsid w:val="00735638"/>
    <w:rsid w:val="00736991"/>
    <w:rsid w:val="00736C0B"/>
    <w:rsid w:val="00736EF6"/>
    <w:rsid w:val="00736FE3"/>
    <w:rsid w:val="00737047"/>
    <w:rsid w:val="00737417"/>
    <w:rsid w:val="007377DD"/>
    <w:rsid w:val="00737CFD"/>
    <w:rsid w:val="0074095C"/>
    <w:rsid w:val="00741570"/>
    <w:rsid w:val="007427A7"/>
    <w:rsid w:val="00742F0A"/>
    <w:rsid w:val="007432AD"/>
    <w:rsid w:val="00743465"/>
    <w:rsid w:val="00743546"/>
    <w:rsid w:val="00743680"/>
    <w:rsid w:val="0074411F"/>
    <w:rsid w:val="00745D47"/>
    <w:rsid w:val="00745D7D"/>
    <w:rsid w:val="00747E04"/>
    <w:rsid w:val="0075050D"/>
    <w:rsid w:val="0075070A"/>
    <w:rsid w:val="00750AF1"/>
    <w:rsid w:val="00755F4C"/>
    <w:rsid w:val="00756AB9"/>
    <w:rsid w:val="00757CFA"/>
    <w:rsid w:val="00757D7E"/>
    <w:rsid w:val="007630AF"/>
    <w:rsid w:val="0076334A"/>
    <w:rsid w:val="0076351E"/>
    <w:rsid w:val="00763558"/>
    <w:rsid w:val="00763743"/>
    <w:rsid w:val="0076380D"/>
    <w:rsid w:val="007638C2"/>
    <w:rsid w:val="007640A2"/>
    <w:rsid w:val="00764123"/>
    <w:rsid w:val="00764189"/>
    <w:rsid w:val="007641F3"/>
    <w:rsid w:val="00765310"/>
    <w:rsid w:val="00765CD0"/>
    <w:rsid w:val="007667E6"/>
    <w:rsid w:val="007679E7"/>
    <w:rsid w:val="00770BEA"/>
    <w:rsid w:val="00771030"/>
    <w:rsid w:val="00772F9A"/>
    <w:rsid w:val="0077426F"/>
    <w:rsid w:val="00774EAC"/>
    <w:rsid w:val="00774F88"/>
    <w:rsid w:val="00775C33"/>
    <w:rsid w:val="00775DAC"/>
    <w:rsid w:val="00775DF4"/>
    <w:rsid w:val="00776DA1"/>
    <w:rsid w:val="00777CD3"/>
    <w:rsid w:val="00777D57"/>
    <w:rsid w:val="00777D6E"/>
    <w:rsid w:val="00781A3B"/>
    <w:rsid w:val="00782928"/>
    <w:rsid w:val="00782ECF"/>
    <w:rsid w:val="007843F0"/>
    <w:rsid w:val="0078468D"/>
    <w:rsid w:val="0078502A"/>
    <w:rsid w:val="007857D2"/>
    <w:rsid w:val="0078699E"/>
    <w:rsid w:val="00787F03"/>
    <w:rsid w:val="00790B79"/>
    <w:rsid w:val="007923AB"/>
    <w:rsid w:val="00792612"/>
    <w:rsid w:val="00792B14"/>
    <w:rsid w:val="00792D34"/>
    <w:rsid w:val="00792F88"/>
    <w:rsid w:val="00793938"/>
    <w:rsid w:val="00794204"/>
    <w:rsid w:val="00796220"/>
    <w:rsid w:val="0079640D"/>
    <w:rsid w:val="00797021"/>
    <w:rsid w:val="0079772D"/>
    <w:rsid w:val="007A0806"/>
    <w:rsid w:val="007A0F56"/>
    <w:rsid w:val="007A17C0"/>
    <w:rsid w:val="007A2166"/>
    <w:rsid w:val="007A2260"/>
    <w:rsid w:val="007A2293"/>
    <w:rsid w:val="007A260F"/>
    <w:rsid w:val="007A30F0"/>
    <w:rsid w:val="007A3169"/>
    <w:rsid w:val="007A31BD"/>
    <w:rsid w:val="007A37D3"/>
    <w:rsid w:val="007A38DB"/>
    <w:rsid w:val="007A457A"/>
    <w:rsid w:val="007A5B2A"/>
    <w:rsid w:val="007A7431"/>
    <w:rsid w:val="007A7F97"/>
    <w:rsid w:val="007B0258"/>
    <w:rsid w:val="007B02BD"/>
    <w:rsid w:val="007B036F"/>
    <w:rsid w:val="007B075A"/>
    <w:rsid w:val="007B0EA9"/>
    <w:rsid w:val="007B1D3B"/>
    <w:rsid w:val="007B2A0B"/>
    <w:rsid w:val="007B2B84"/>
    <w:rsid w:val="007B2BEC"/>
    <w:rsid w:val="007B303F"/>
    <w:rsid w:val="007B3574"/>
    <w:rsid w:val="007B48DF"/>
    <w:rsid w:val="007B4D38"/>
    <w:rsid w:val="007B5430"/>
    <w:rsid w:val="007B56FE"/>
    <w:rsid w:val="007B5847"/>
    <w:rsid w:val="007B63B2"/>
    <w:rsid w:val="007B677F"/>
    <w:rsid w:val="007B7645"/>
    <w:rsid w:val="007C09A9"/>
    <w:rsid w:val="007C0A7D"/>
    <w:rsid w:val="007C0BF8"/>
    <w:rsid w:val="007C0D11"/>
    <w:rsid w:val="007C17DD"/>
    <w:rsid w:val="007C1CD2"/>
    <w:rsid w:val="007C2000"/>
    <w:rsid w:val="007C2701"/>
    <w:rsid w:val="007C2D55"/>
    <w:rsid w:val="007C2E1E"/>
    <w:rsid w:val="007C32E1"/>
    <w:rsid w:val="007C4578"/>
    <w:rsid w:val="007C4720"/>
    <w:rsid w:val="007C4C42"/>
    <w:rsid w:val="007C4C56"/>
    <w:rsid w:val="007C6078"/>
    <w:rsid w:val="007C73A1"/>
    <w:rsid w:val="007C742D"/>
    <w:rsid w:val="007C7F45"/>
    <w:rsid w:val="007D0424"/>
    <w:rsid w:val="007D1081"/>
    <w:rsid w:val="007D1451"/>
    <w:rsid w:val="007D16CD"/>
    <w:rsid w:val="007D1D4D"/>
    <w:rsid w:val="007D1FF4"/>
    <w:rsid w:val="007D34D3"/>
    <w:rsid w:val="007D3B14"/>
    <w:rsid w:val="007D4549"/>
    <w:rsid w:val="007D4CA7"/>
    <w:rsid w:val="007D4E58"/>
    <w:rsid w:val="007D50C2"/>
    <w:rsid w:val="007D5D6C"/>
    <w:rsid w:val="007D62FA"/>
    <w:rsid w:val="007D6FA5"/>
    <w:rsid w:val="007D709E"/>
    <w:rsid w:val="007D7751"/>
    <w:rsid w:val="007D79DC"/>
    <w:rsid w:val="007D7B40"/>
    <w:rsid w:val="007E1BE2"/>
    <w:rsid w:val="007E22C3"/>
    <w:rsid w:val="007E368B"/>
    <w:rsid w:val="007E3BA3"/>
    <w:rsid w:val="007E3F12"/>
    <w:rsid w:val="007E462C"/>
    <w:rsid w:val="007E4F56"/>
    <w:rsid w:val="007E5576"/>
    <w:rsid w:val="007E58A6"/>
    <w:rsid w:val="007E61E5"/>
    <w:rsid w:val="007E6312"/>
    <w:rsid w:val="007F0256"/>
    <w:rsid w:val="007F0987"/>
    <w:rsid w:val="007F1500"/>
    <w:rsid w:val="007F1763"/>
    <w:rsid w:val="007F260A"/>
    <w:rsid w:val="007F3170"/>
    <w:rsid w:val="007F408E"/>
    <w:rsid w:val="007F45D1"/>
    <w:rsid w:val="007F4605"/>
    <w:rsid w:val="007F53D5"/>
    <w:rsid w:val="007F622B"/>
    <w:rsid w:val="007F63E8"/>
    <w:rsid w:val="007F6CB6"/>
    <w:rsid w:val="00800FA4"/>
    <w:rsid w:val="00801692"/>
    <w:rsid w:val="00801DFA"/>
    <w:rsid w:val="008024DB"/>
    <w:rsid w:val="00802C0D"/>
    <w:rsid w:val="00802C92"/>
    <w:rsid w:val="00802DBB"/>
    <w:rsid w:val="00803973"/>
    <w:rsid w:val="00803E07"/>
    <w:rsid w:val="008044E5"/>
    <w:rsid w:val="00804AF7"/>
    <w:rsid w:val="00805526"/>
    <w:rsid w:val="0080592F"/>
    <w:rsid w:val="0080624B"/>
    <w:rsid w:val="0080674B"/>
    <w:rsid w:val="00806B63"/>
    <w:rsid w:val="008076B4"/>
    <w:rsid w:val="00807DAF"/>
    <w:rsid w:val="008101ED"/>
    <w:rsid w:val="008108B9"/>
    <w:rsid w:val="008109C1"/>
    <w:rsid w:val="00810C9F"/>
    <w:rsid w:val="00810DB4"/>
    <w:rsid w:val="00812044"/>
    <w:rsid w:val="00812C39"/>
    <w:rsid w:val="0081346C"/>
    <w:rsid w:val="008140DF"/>
    <w:rsid w:val="00814759"/>
    <w:rsid w:val="00814FD1"/>
    <w:rsid w:val="00815056"/>
    <w:rsid w:val="00815BD8"/>
    <w:rsid w:val="00815CBC"/>
    <w:rsid w:val="00815D10"/>
    <w:rsid w:val="00817D73"/>
    <w:rsid w:val="00820FEE"/>
    <w:rsid w:val="008219F9"/>
    <w:rsid w:val="0082206A"/>
    <w:rsid w:val="00822096"/>
    <w:rsid w:val="008222F6"/>
    <w:rsid w:val="008227F8"/>
    <w:rsid w:val="00822EF8"/>
    <w:rsid w:val="00823858"/>
    <w:rsid w:val="00824471"/>
    <w:rsid w:val="00824491"/>
    <w:rsid w:val="00825242"/>
    <w:rsid w:val="00825A19"/>
    <w:rsid w:val="00825ABC"/>
    <w:rsid w:val="00826AE5"/>
    <w:rsid w:val="00827666"/>
    <w:rsid w:val="008278E2"/>
    <w:rsid w:val="00827E2D"/>
    <w:rsid w:val="00830D18"/>
    <w:rsid w:val="00830E9A"/>
    <w:rsid w:val="008336A2"/>
    <w:rsid w:val="00833F09"/>
    <w:rsid w:val="008344D9"/>
    <w:rsid w:val="00835139"/>
    <w:rsid w:val="00835872"/>
    <w:rsid w:val="00836248"/>
    <w:rsid w:val="008365F4"/>
    <w:rsid w:val="00841819"/>
    <w:rsid w:val="008419DF"/>
    <w:rsid w:val="0084215C"/>
    <w:rsid w:val="00842FEC"/>
    <w:rsid w:val="00843D38"/>
    <w:rsid w:val="00843E88"/>
    <w:rsid w:val="00844680"/>
    <w:rsid w:val="0084479D"/>
    <w:rsid w:val="00844AD5"/>
    <w:rsid w:val="00845CAC"/>
    <w:rsid w:val="00845F69"/>
    <w:rsid w:val="00846908"/>
    <w:rsid w:val="0084701E"/>
    <w:rsid w:val="00847F61"/>
    <w:rsid w:val="008503BC"/>
    <w:rsid w:val="008504DB"/>
    <w:rsid w:val="0085089F"/>
    <w:rsid w:val="008512E2"/>
    <w:rsid w:val="008521BC"/>
    <w:rsid w:val="00852DE6"/>
    <w:rsid w:val="0085300F"/>
    <w:rsid w:val="00853E40"/>
    <w:rsid w:val="00854640"/>
    <w:rsid w:val="00856062"/>
    <w:rsid w:val="00856712"/>
    <w:rsid w:val="00857150"/>
    <w:rsid w:val="00857A5F"/>
    <w:rsid w:val="00860772"/>
    <w:rsid w:val="00860BF0"/>
    <w:rsid w:val="008619B1"/>
    <w:rsid w:val="00861CED"/>
    <w:rsid w:val="00862D68"/>
    <w:rsid w:val="00863812"/>
    <w:rsid w:val="00863C06"/>
    <w:rsid w:val="008676BE"/>
    <w:rsid w:val="0086780C"/>
    <w:rsid w:val="00870FE4"/>
    <w:rsid w:val="00872E67"/>
    <w:rsid w:val="008731E8"/>
    <w:rsid w:val="008735C7"/>
    <w:rsid w:val="008740A0"/>
    <w:rsid w:val="00874903"/>
    <w:rsid w:val="008754A3"/>
    <w:rsid w:val="00875CE5"/>
    <w:rsid w:val="0087633A"/>
    <w:rsid w:val="00876E0B"/>
    <w:rsid w:val="00877BCA"/>
    <w:rsid w:val="0088120A"/>
    <w:rsid w:val="00881642"/>
    <w:rsid w:val="0088168E"/>
    <w:rsid w:val="00881709"/>
    <w:rsid w:val="00881ABE"/>
    <w:rsid w:val="00882B02"/>
    <w:rsid w:val="00883E84"/>
    <w:rsid w:val="00885EC5"/>
    <w:rsid w:val="00886214"/>
    <w:rsid w:val="0088661F"/>
    <w:rsid w:val="008879D2"/>
    <w:rsid w:val="008901F2"/>
    <w:rsid w:val="00890798"/>
    <w:rsid w:val="008914A1"/>
    <w:rsid w:val="008923B0"/>
    <w:rsid w:val="00892D87"/>
    <w:rsid w:val="008944AE"/>
    <w:rsid w:val="0089492C"/>
    <w:rsid w:val="008954B6"/>
    <w:rsid w:val="008954FE"/>
    <w:rsid w:val="0089575C"/>
    <w:rsid w:val="008958B1"/>
    <w:rsid w:val="00895BBA"/>
    <w:rsid w:val="00896ECA"/>
    <w:rsid w:val="00897D82"/>
    <w:rsid w:val="008A129D"/>
    <w:rsid w:val="008A134D"/>
    <w:rsid w:val="008A2023"/>
    <w:rsid w:val="008A2158"/>
    <w:rsid w:val="008A2B2C"/>
    <w:rsid w:val="008A2BC3"/>
    <w:rsid w:val="008A3206"/>
    <w:rsid w:val="008A3609"/>
    <w:rsid w:val="008A3857"/>
    <w:rsid w:val="008A3903"/>
    <w:rsid w:val="008A39DE"/>
    <w:rsid w:val="008A3FCE"/>
    <w:rsid w:val="008A4606"/>
    <w:rsid w:val="008A4D2D"/>
    <w:rsid w:val="008A5CD8"/>
    <w:rsid w:val="008A60C7"/>
    <w:rsid w:val="008A62E6"/>
    <w:rsid w:val="008A62F6"/>
    <w:rsid w:val="008A6F06"/>
    <w:rsid w:val="008A7A99"/>
    <w:rsid w:val="008B0364"/>
    <w:rsid w:val="008B0D33"/>
    <w:rsid w:val="008B12C7"/>
    <w:rsid w:val="008B1D4C"/>
    <w:rsid w:val="008B1EA7"/>
    <w:rsid w:val="008B3646"/>
    <w:rsid w:val="008B4806"/>
    <w:rsid w:val="008B4939"/>
    <w:rsid w:val="008B4F07"/>
    <w:rsid w:val="008B57FA"/>
    <w:rsid w:val="008B5ECF"/>
    <w:rsid w:val="008B6AA6"/>
    <w:rsid w:val="008B793C"/>
    <w:rsid w:val="008B7E9A"/>
    <w:rsid w:val="008C0076"/>
    <w:rsid w:val="008C00E4"/>
    <w:rsid w:val="008C12F5"/>
    <w:rsid w:val="008C1586"/>
    <w:rsid w:val="008C2544"/>
    <w:rsid w:val="008C2947"/>
    <w:rsid w:val="008C2C74"/>
    <w:rsid w:val="008C2E58"/>
    <w:rsid w:val="008C30AD"/>
    <w:rsid w:val="008C3978"/>
    <w:rsid w:val="008C39D8"/>
    <w:rsid w:val="008C3DD7"/>
    <w:rsid w:val="008C3F49"/>
    <w:rsid w:val="008C40BA"/>
    <w:rsid w:val="008C47A1"/>
    <w:rsid w:val="008C4E3F"/>
    <w:rsid w:val="008C5173"/>
    <w:rsid w:val="008C5797"/>
    <w:rsid w:val="008C58D2"/>
    <w:rsid w:val="008C646B"/>
    <w:rsid w:val="008C6951"/>
    <w:rsid w:val="008C69F5"/>
    <w:rsid w:val="008C6D2C"/>
    <w:rsid w:val="008D0534"/>
    <w:rsid w:val="008D0C9A"/>
    <w:rsid w:val="008D1EE7"/>
    <w:rsid w:val="008D21D9"/>
    <w:rsid w:val="008D29C8"/>
    <w:rsid w:val="008D3120"/>
    <w:rsid w:val="008D335D"/>
    <w:rsid w:val="008D452A"/>
    <w:rsid w:val="008D4C88"/>
    <w:rsid w:val="008D553A"/>
    <w:rsid w:val="008D5E73"/>
    <w:rsid w:val="008D71C9"/>
    <w:rsid w:val="008D79B5"/>
    <w:rsid w:val="008E0DA3"/>
    <w:rsid w:val="008E179D"/>
    <w:rsid w:val="008E274E"/>
    <w:rsid w:val="008E27C2"/>
    <w:rsid w:val="008E31B9"/>
    <w:rsid w:val="008E3CA3"/>
    <w:rsid w:val="008E4091"/>
    <w:rsid w:val="008E4F40"/>
    <w:rsid w:val="008E4FA0"/>
    <w:rsid w:val="008E5F5B"/>
    <w:rsid w:val="008E6AB3"/>
    <w:rsid w:val="008E7757"/>
    <w:rsid w:val="008F021C"/>
    <w:rsid w:val="008F1D7F"/>
    <w:rsid w:val="008F1ED2"/>
    <w:rsid w:val="008F2778"/>
    <w:rsid w:val="008F2FF0"/>
    <w:rsid w:val="008F3758"/>
    <w:rsid w:val="008F3F5F"/>
    <w:rsid w:val="008F449F"/>
    <w:rsid w:val="008F4EE0"/>
    <w:rsid w:val="008F4EF4"/>
    <w:rsid w:val="008F66A1"/>
    <w:rsid w:val="008F69BE"/>
    <w:rsid w:val="008F73E0"/>
    <w:rsid w:val="009001C1"/>
    <w:rsid w:val="00902B04"/>
    <w:rsid w:val="0090351E"/>
    <w:rsid w:val="00904791"/>
    <w:rsid w:val="00904B8C"/>
    <w:rsid w:val="00904EBD"/>
    <w:rsid w:val="00905D8F"/>
    <w:rsid w:val="00907B11"/>
    <w:rsid w:val="009114A9"/>
    <w:rsid w:val="009115E4"/>
    <w:rsid w:val="00912AA1"/>
    <w:rsid w:val="009133A3"/>
    <w:rsid w:val="009135BD"/>
    <w:rsid w:val="0091382B"/>
    <w:rsid w:val="009141A7"/>
    <w:rsid w:val="009143F9"/>
    <w:rsid w:val="00914462"/>
    <w:rsid w:val="0091667C"/>
    <w:rsid w:val="009171EE"/>
    <w:rsid w:val="00917484"/>
    <w:rsid w:val="009174F0"/>
    <w:rsid w:val="00917DA3"/>
    <w:rsid w:val="00920496"/>
    <w:rsid w:val="00920737"/>
    <w:rsid w:val="0092095E"/>
    <w:rsid w:val="00921263"/>
    <w:rsid w:val="00921660"/>
    <w:rsid w:val="0092178C"/>
    <w:rsid w:val="0092230C"/>
    <w:rsid w:val="00922C48"/>
    <w:rsid w:val="00922C51"/>
    <w:rsid w:val="0092399A"/>
    <w:rsid w:val="00923EB8"/>
    <w:rsid w:val="00927317"/>
    <w:rsid w:val="0093110A"/>
    <w:rsid w:val="00931576"/>
    <w:rsid w:val="009344F8"/>
    <w:rsid w:val="00934768"/>
    <w:rsid w:val="009348D1"/>
    <w:rsid w:val="00934CF2"/>
    <w:rsid w:val="00937DE7"/>
    <w:rsid w:val="00940FBA"/>
    <w:rsid w:val="00942EF1"/>
    <w:rsid w:val="0094303F"/>
    <w:rsid w:val="00943D37"/>
    <w:rsid w:val="00944262"/>
    <w:rsid w:val="009444A8"/>
    <w:rsid w:val="00944754"/>
    <w:rsid w:val="00944B51"/>
    <w:rsid w:val="009458E6"/>
    <w:rsid w:val="00946471"/>
    <w:rsid w:val="00946650"/>
    <w:rsid w:val="00946D61"/>
    <w:rsid w:val="00946E9A"/>
    <w:rsid w:val="009475EF"/>
    <w:rsid w:val="00947C34"/>
    <w:rsid w:val="00947DE9"/>
    <w:rsid w:val="00947FC9"/>
    <w:rsid w:val="0095069E"/>
    <w:rsid w:val="0095088F"/>
    <w:rsid w:val="00950EFB"/>
    <w:rsid w:val="009517E3"/>
    <w:rsid w:val="00951BF6"/>
    <w:rsid w:val="0095253F"/>
    <w:rsid w:val="00952FBF"/>
    <w:rsid w:val="009548E9"/>
    <w:rsid w:val="00957F04"/>
    <w:rsid w:val="00960082"/>
    <w:rsid w:val="00961396"/>
    <w:rsid w:val="00962588"/>
    <w:rsid w:val="00962F90"/>
    <w:rsid w:val="0096331A"/>
    <w:rsid w:val="00963709"/>
    <w:rsid w:val="009650D8"/>
    <w:rsid w:val="00965366"/>
    <w:rsid w:val="00965F97"/>
    <w:rsid w:val="00966EF8"/>
    <w:rsid w:val="0096737D"/>
    <w:rsid w:val="00967492"/>
    <w:rsid w:val="00967B1E"/>
    <w:rsid w:val="00967C3D"/>
    <w:rsid w:val="00967FFD"/>
    <w:rsid w:val="00971EDE"/>
    <w:rsid w:val="00972258"/>
    <w:rsid w:val="0097226C"/>
    <w:rsid w:val="0097226D"/>
    <w:rsid w:val="00972857"/>
    <w:rsid w:val="00972B62"/>
    <w:rsid w:val="00973D19"/>
    <w:rsid w:val="00976871"/>
    <w:rsid w:val="00976E42"/>
    <w:rsid w:val="0097715A"/>
    <w:rsid w:val="00977210"/>
    <w:rsid w:val="00977B15"/>
    <w:rsid w:val="00980971"/>
    <w:rsid w:val="00981676"/>
    <w:rsid w:val="009828C9"/>
    <w:rsid w:val="00983DD5"/>
    <w:rsid w:val="00984153"/>
    <w:rsid w:val="00984331"/>
    <w:rsid w:val="00985EAC"/>
    <w:rsid w:val="00986C39"/>
    <w:rsid w:val="009870C9"/>
    <w:rsid w:val="00987CAA"/>
    <w:rsid w:val="009901E5"/>
    <w:rsid w:val="009905AB"/>
    <w:rsid w:val="00990A37"/>
    <w:rsid w:val="00990BD8"/>
    <w:rsid w:val="0099110E"/>
    <w:rsid w:val="00991604"/>
    <w:rsid w:val="00991C46"/>
    <w:rsid w:val="00991F51"/>
    <w:rsid w:val="009921D8"/>
    <w:rsid w:val="00992EBA"/>
    <w:rsid w:val="00993052"/>
    <w:rsid w:val="00993AEF"/>
    <w:rsid w:val="0099467C"/>
    <w:rsid w:val="00994DF9"/>
    <w:rsid w:val="00995032"/>
    <w:rsid w:val="009961A2"/>
    <w:rsid w:val="009961B6"/>
    <w:rsid w:val="00996EA5"/>
    <w:rsid w:val="009978D7"/>
    <w:rsid w:val="00997B52"/>
    <w:rsid w:val="00997F2A"/>
    <w:rsid w:val="009A17B4"/>
    <w:rsid w:val="009A1832"/>
    <w:rsid w:val="009A2A2F"/>
    <w:rsid w:val="009A2C16"/>
    <w:rsid w:val="009A2CD9"/>
    <w:rsid w:val="009A3530"/>
    <w:rsid w:val="009A51CA"/>
    <w:rsid w:val="009A5243"/>
    <w:rsid w:val="009A595B"/>
    <w:rsid w:val="009A70EB"/>
    <w:rsid w:val="009B076E"/>
    <w:rsid w:val="009B1FF4"/>
    <w:rsid w:val="009B21FA"/>
    <w:rsid w:val="009B2625"/>
    <w:rsid w:val="009B27DD"/>
    <w:rsid w:val="009B41E2"/>
    <w:rsid w:val="009B5592"/>
    <w:rsid w:val="009B6884"/>
    <w:rsid w:val="009B7203"/>
    <w:rsid w:val="009B74AB"/>
    <w:rsid w:val="009B7BB7"/>
    <w:rsid w:val="009B7D32"/>
    <w:rsid w:val="009C01C4"/>
    <w:rsid w:val="009C0935"/>
    <w:rsid w:val="009C0A3B"/>
    <w:rsid w:val="009C1C8B"/>
    <w:rsid w:val="009C1EEB"/>
    <w:rsid w:val="009C3793"/>
    <w:rsid w:val="009C3D34"/>
    <w:rsid w:val="009C3DFC"/>
    <w:rsid w:val="009C4B81"/>
    <w:rsid w:val="009C5780"/>
    <w:rsid w:val="009C5D6B"/>
    <w:rsid w:val="009C67A1"/>
    <w:rsid w:val="009C7178"/>
    <w:rsid w:val="009C7319"/>
    <w:rsid w:val="009C7388"/>
    <w:rsid w:val="009C7444"/>
    <w:rsid w:val="009C779E"/>
    <w:rsid w:val="009C7E89"/>
    <w:rsid w:val="009D0FE4"/>
    <w:rsid w:val="009D0FFA"/>
    <w:rsid w:val="009D1285"/>
    <w:rsid w:val="009D141D"/>
    <w:rsid w:val="009D29CA"/>
    <w:rsid w:val="009D3054"/>
    <w:rsid w:val="009D3154"/>
    <w:rsid w:val="009D31FF"/>
    <w:rsid w:val="009D3840"/>
    <w:rsid w:val="009D4055"/>
    <w:rsid w:val="009D40E7"/>
    <w:rsid w:val="009D611B"/>
    <w:rsid w:val="009D7456"/>
    <w:rsid w:val="009D7AC9"/>
    <w:rsid w:val="009E0F5A"/>
    <w:rsid w:val="009E132E"/>
    <w:rsid w:val="009E15DE"/>
    <w:rsid w:val="009E1F1D"/>
    <w:rsid w:val="009E3A82"/>
    <w:rsid w:val="009E4085"/>
    <w:rsid w:val="009E4C0E"/>
    <w:rsid w:val="009E4C6A"/>
    <w:rsid w:val="009E60F4"/>
    <w:rsid w:val="009E61C8"/>
    <w:rsid w:val="009E6254"/>
    <w:rsid w:val="009E675C"/>
    <w:rsid w:val="009E76B5"/>
    <w:rsid w:val="009E7A2A"/>
    <w:rsid w:val="009F0344"/>
    <w:rsid w:val="009F04E7"/>
    <w:rsid w:val="009F0A1C"/>
    <w:rsid w:val="009F103D"/>
    <w:rsid w:val="009F1A11"/>
    <w:rsid w:val="009F2619"/>
    <w:rsid w:val="009F2AC8"/>
    <w:rsid w:val="009F3146"/>
    <w:rsid w:val="009F43CB"/>
    <w:rsid w:val="009F49DD"/>
    <w:rsid w:val="009F4C1F"/>
    <w:rsid w:val="009F4D8D"/>
    <w:rsid w:val="009F4DBB"/>
    <w:rsid w:val="009F53E9"/>
    <w:rsid w:val="009F542D"/>
    <w:rsid w:val="009F6102"/>
    <w:rsid w:val="009F6CAD"/>
    <w:rsid w:val="009F6E66"/>
    <w:rsid w:val="00A0003C"/>
    <w:rsid w:val="00A007C8"/>
    <w:rsid w:val="00A00D57"/>
    <w:rsid w:val="00A011DF"/>
    <w:rsid w:val="00A016F9"/>
    <w:rsid w:val="00A02946"/>
    <w:rsid w:val="00A02A80"/>
    <w:rsid w:val="00A02D81"/>
    <w:rsid w:val="00A030A6"/>
    <w:rsid w:val="00A03824"/>
    <w:rsid w:val="00A03D2B"/>
    <w:rsid w:val="00A05EA3"/>
    <w:rsid w:val="00A06024"/>
    <w:rsid w:val="00A06038"/>
    <w:rsid w:val="00A06ABE"/>
    <w:rsid w:val="00A07623"/>
    <w:rsid w:val="00A1027B"/>
    <w:rsid w:val="00A104B7"/>
    <w:rsid w:val="00A11755"/>
    <w:rsid w:val="00A121F5"/>
    <w:rsid w:val="00A128F8"/>
    <w:rsid w:val="00A13D00"/>
    <w:rsid w:val="00A14EFD"/>
    <w:rsid w:val="00A155DA"/>
    <w:rsid w:val="00A17170"/>
    <w:rsid w:val="00A17B6D"/>
    <w:rsid w:val="00A214A2"/>
    <w:rsid w:val="00A21739"/>
    <w:rsid w:val="00A23506"/>
    <w:rsid w:val="00A241C3"/>
    <w:rsid w:val="00A2450D"/>
    <w:rsid w:val="00A24F0A"/>
    <w:rsid w:val="00A24F32"/>
    <w:rsid w:val="00A26FFF"/>
    <w:rsid w:val="00A2792E"/>
    <w:rsid w:val="00A27D83"/>
    <w:rsid w:val="00A30223"/>
    <w:rsid w:val="00A31B91"/>
    <w:rsid w:val="00A3294D"/>
    <w:rsid w:val="00A3347A"/>
    <w:rsid w:val="00A33874"/>
    <w:rsid w:val="00A33882"/>
    <w:rsid w:val="00A33F21"/>
    <w:rsid w:val="00A340EC"/>
    <w:rsid w:val="00A35736"/>
    <w:rsid w:val="00A35E1B"/>
    <w:rsid w:val="00A36B00"/>
    <w:rsid w:val="00A36BA3"/>
    <w:rsid w:val="00A417C2"/>
    <w:rsid w:val="00A41D2B"/>
    <w:rsid w:val="00A42639"/>
    <w:rsid w:val="00A43200"/>
    <w:rsid w:val="00A4328B"/>
    <w:rsid w:val="00A43999"/>
    <w:rsid w:val="00A43DD0"/>
    <w:rsid w:val="00A43E8C"/>
    <w:rsid w:val="00A4516A"/>
    <w:rsid w:val="00A451BB"/>
    <w:rsid w:val="00A45351"/>
    <w:rsid w:val="00A463FB"/>
    <w:rsid w:val="00A46B14"/>
    <w:rsid w:val="00A47739"/>
    <w:rsid w:val="00A47D20"/>
    <w:rsid w:val="00A505AF"/>
    <w:rsid w:val="00A50A63"/>
    <w:rsid w:val="00A51766"/>
    <w:rsid w:val="00A51C67"/>
    <w:rsid w:val="00A51F62"/>
    <w:rsid w:val="00A529A9"/>
    <w:rsid w:val="00A52D95"/>
    <w:rsid w:val="00A53213"/>
    <w:rsid w:val="00A53620"/>
    <w:rsid w:val="00A5392B"/>
    <w:rsid w:val="00A53B45"/>
    <w:rsid w:val="00A53DDD"/>
    <w:rsid w:val="00A5438C"/>
    <w:rsid w:val="00A547AA"/>
    <w:rsid w:val="00A54D6C"/>
    <w:rsid w:val="00A55444"/>
    <w:rsid w:val="00A55E65"/>
    <w:rsid w:val="00A5606B"/>
    <w:rsid w:val="00A5680F"/>
    <w:rsid w:val="00A56C7C"/>
    <w:rsid w:val="00A575A2"/>
    <w:rsid w:val="00A57627"/>
    <w:rsid w:val="00A5772A"/>
    <w:rsid w:val="00A57A05"/>
    <w:rsid w:val="00A60233"/>
    <w:rsid w:val="00A60720"/>
    <w:rsid w:val="00A6227D"/>
    <w:rsid w:val="00A62B0C"/>
    <w:rsid w:val="00A636FE"/>
    <w:rsid w:val="00A6376E"/>
    <w:rsid w:val="00A63ACF"/>
    <w:rsid w:val="00A64E6F"/>
    <w:rsid w:val="00A66568"/>
    <w:rsid w:val="00A66639"/>
    <w:rsid w:val="00A66F6B"/>
    <w:rsid w:val="00A672A7"/>
    <w:rsid w:val="00A67944"/>
    <w:rsid w:val="00A67E4C"/>
    <w:rsid w:val="00A67F62"/>
    <w:rsid w:val="00A703F1"/>
    <w:rsid w:val="00A70790"/>
    <w:rsid w:val="00A70870"/>
    <w:rsid w:val="00A70995"/>
    <w:rsid w:val="00A70DA3"/>
    <w:rsid w:val="00A719E0"/>
    <w:rsid w:val="00A71B87"/>
    <w:rsid w:val="00A71CA5"/>
    <w:rsid w:val="00A71D70"/>
    <w:rsid w:val="00A73B59"/>
    <w:rsid w:val="00A75294"/>
    <w:rsid w:val="00A75D61"/>
    <w:rsid w:val="00A762B5"/>
    <w:rsid w:val="00A77B35"/>
    <w:rsid w:val="00A80223"/>
    <w:rsid w:val="00A8066A"/>
    <w:rsid w:val="00A81125"/>
    <w:rsid w:val="00A822CE"/>
    <w:rsid w:val="00A8258F"/>
    <w:rsid w:val="00A830CA"/>
    <w:rsid w:val="00A83A5A"/>
    <w:rsid w:val="00A83A9E"/>
    <w:rsid w:val="00A83B32"/>
    <w:rsid w:val="00A8481C"/>
    <w:rsid w:val="00A84C23"/>
    <w:rsid w:val="00A84E22"/>
    <w:rsid w:val="00A856E5"/>
    <w:rsid w:val="00A8610D"/>
    <w:rsid w:val="00A8691A"/>
    <w:rsid w:val="00A919ED"/>
    <w:rsid w:val="00A91E6D"/>
    <w:rsid w:val="00A9251E"/>
    <w:rsid w:val="00A92665"/>
    <w:rsid w:val="00A92D43"/>
    <w:rsid w:val="00A9445B"/>
    <w:rsid w:val="00A94C89"/>
    <w:rsid w:val="00A956A9"/>
    <w:rsid w:val="00A9727A"/>
    <w:rsid w:val="00AA02A5"/>
    <w:rsid w:val="00AA0686"/>
    <w:rsid w:val="00AA0B45"/>
    <w:rsid w:val="00AA1F17"/>
    <w:rsid w:val="00AA2065"/>
    <w:rsid w:val="00AA2C06"/>
    <w:rsid w:val="00AA38DE"/>
    <w:rsid w:val="00AA424B"/>
    <w:rsid w:val="00AA4BE3"/>
    <w:rsid w:val="00AA4E23"/>
    <w:rsid w:val="00AA4FE0"/>
    <w:rsid w:val="00AA5E53"/>
    <w:rsid w:val="00AA6053"/>
    <w:rsid w:val="00AA63FF"/>
    <w:rsid w:val="00AA6691"/>
    <w:rsid w:val="00AA6F1C"/>
    <w:rsid w:val="00AA7FFB"/>
    <w:rsid w:val="00AB02F3"/>
    <w:rsid w:val="00AB10F7"/>
    <w:rsid w:val="00AB12B7"/>
    <w:rsid w:val="00AB17CC"/>
    <w:rsid w:val="00AB17EB"/>
    <w:rsid w:val="00AB2F47"/>
    <w:rsid w:val="00AB36B4"/>
    <w:rsid w:val="00AB382E"/>
    <w:rsid w:val="00AB3BE8"/>
    <w:rsid w:val="00AB3F8A"/>
    <w:rsid w:val="00AB50EC"/>
    <w:rsid w:val="00AB5CDD"/>
    <w:rsid w:val="00AB6405"/>
    <w:rsid w:val="00AB6406"/>
    <w:rsid w:val="00AB655F"/>
    <w:rsid w:val="00AC047A"/>
    <w:rsid w:val="00AC0991"/>
    <w:rsid w:val="00AC1803"/>
    <w:rsid w:val="00AC3617"/>
    <w:rsid w:val="00AC3A77"/>
    <w:rsid w:val="00AC6CE1"/>
    <w:rsid w:val="00AC7C0B"/>
    <w:rsid w:val="00AD052F"/>
    <w:rsid w:val="00AD0C2C"/>
    <w:rsid w:val="00AD0ECB"/>
    <w:rsid w:val="00AD0FA0"/>
    <w:rsid w:val="00AD0FD9"/>
    <w:rsid w:val="00AD106A"/>
    <w:rsid w:val="00AD12A4"/>
    <w:rsid w:val="00AD1491"/>
    <w:rsid w:val="00AD158A"/>
    <w:rsid w:val="00AD15CE"/>
    <w:rsid w:val="00AD1634"/>
    <w:rsid w:val="00AD196D"/>
    <w:rsid w:val="00AD1CBB"/>
    <w:rsid w:val="00AD1F15"/>
    <w:rsid w:val="00AD21DC"/>
    <w:rsid w:val="00AD2EF4"/>
    <w:rsid w:val="00AD3A96"/>
    <w:rsid w:val="00AD3EB3"/>
    <w:rsid w:val="00AD46B1"/>
    <w:rsid w:val="00AD56C2"/>
    <w:rsid w:val="00AD578F"/>
    <w:rsid w:val="00AD5C5F"/>
    <w:rsid w:val="00AD602D"/>
    <w:rsid w:val="00AD77B2"/>
    <w:rsid w:val="00AD7928"/>
    <w:rsid w:val="00AE033B"/>
    <w:rsid w:val="00AE04C4"/>
    <w:rsid w:val="00AE1E99"/>
    <w:rsid w:val="00AE2299"/>
    <w:rsid w:val="00AE251E"/>
    <w:rsid w:val="00AE481D"/>
    <w:rsid w:val="00AE509A"/>
    <w:rsid w:val="00AF0F53"/>
    <w:rsid w:val="00AF2064"/>
    <w:rsid w:val="00AF24E8"/>
    <w:rsid w:val="00AF32BC"/>
    <w:rsid w:val="00AF40C6"/>
    <w:rsid w:val="00AF4484"/>
    <w:rsid w:val="00AF46DE"/>
    <w:rsid w:val="00AF4B76"/>
    <w:rsid w:val="00AF5A26"/>
    <w:rsid w:val="00AF5BD6"/>
    <w:rsid w:val="00AF62CA"/>
    <w:rsid w:val="00AF64F9"/>
    <w:rsid w:val="00AF748D"/>
    <w:rsid w:val="00AF7691"/>
    <w:rsid w:val="00AF7C3C"/>
    <w:rsid w:val="00B00267"/>
    <w:rsid w:val="00B00511"/>
    <w:rsid w:val="00B012FF"/>
    <w:rsid w:val="00B01659"/>
    <w:rsid w:val="00B01C93"/>
    <w:rsid w:val="00B022DF"/>
    <w:rsid w:val="00B03595"/>
    <w:rsid w:val="00B03779"/>
    <w:rsid w:val="00B03D76"/>
    <w:rsid w:val="00B03FEF"/>
    <w:rsid w:val="00B0472B"/>
    <w:rsid w:val="00B0508A"/>
    <w:rsid w:val="00B05AA2"/>
    <w:rsid w:val="00B06C71"/>
    <w:rsid w:val="00B06CF4"/>
    <w:rsid w:val="00B07D87"/>
    <w:rsid w:val="00B10F3E"/>
    <w:rsid w:val="00B11211"/>
    <w:rsid w:val="00B114D9"/>
    <w:rsid w:val="00B12D36"/>
    <w:rsid w:val="00B12F37"/>
    <w:rsid w:val="00B1362B"/>
    <w:rsid w:val="00B14082"/>
    <w:rsid w:val="00B14ACB"/>
    <w:rsid w:val="00B15460"/>
    <w:rsid w:val="00B15DCF"/>
    <w:rsid w:val="00B1674B"/>
    <w:rsid w:val="00B1744D"/>
    <w:rsid w:val="00B175EE"/>
    <w:rsid w:val="00B1766A"/>
    <w:rsid w:val="00B179B3"/>
    <w:rsid w:val="00B17D2F"/>
    <w:rsid w:val="00B20D69"/>
    <w:rsid w:val="00B21510"/>
    <w:rsid w:val="00B21BD2"/>
    <w:rsid w:val="00B22511"/>
    <w:rsid w:val="00B23EB4"/>
    <w:rsid w:val="00B25089"/>
    <w:rsid w:val="00B251D2"/>
    <w:rsid w:val="00B253C8"/>
    <w:rsid w:val="00B253E2"/>
    <w:rsid w:val="00B254EE"/>
    <w:rsid w:val="00B265EC"/>
    <w:rsid w:val="00B27AB1"/>
    <w:rsid w:val="00B27E78"/>
    <w:rsid w:val="00B32E2B"/>
    <w:rsid w:val="00B334AC"/>
    <w:rsid w:val="00B3380F"/>
    <w:rsid w:val="00B33B87"/>
    <w:rsid w:val="00B341F2"/>
    <w:rsid w:val="00B34427"/>
    <w:rsid w:val="00B34A8F"/>
    <w:rsid w:val="00B34E7E"/>
    <w:rsid w:val="00B3539E"/>
    <w:rsid w:val="00B36C6B"/>
    <w:rsid w:val="00B373D8"/>
    <w:rsid w:val="00B37DC8"/>
    <w:rsid w:val="00B37E6D"/>
    <w:rsid w:val="00B40CBC"/>
    <w:rsid w:val="00B41A93"/>
    <w:rsid w:val="00B432AE"/>
    <w:rsid w:val="00B4406F"/>
    <w:rsid w:val="00B44869"/>
    <w:rsid w:val="00B45124"/>
    <w:rsid w:val="00B45C50"/>
    <w:rsid w:val="00B470F6"/>
    <w:rsid w:val="00B47361"/>
    <w:rsid w:val="00B4756B"/>
    <w:rsid w:val="00B47699"/>
    <w:rsid w:val="00B50652"/>
    <w:rsid w:val="00B5166D"/>
    <w:rsid w:val="00B51F43"/>
    <w:rsid w:val="00B523E2"/>
    <w:rsid w:val="00B526AB"/>
    <w:rsid w:val="00B526B1"/>
    <w:rsid w:val="00B527B0"/>
    <w:rsid w:val="00B52AE6"/>
    <w:rsid w:val="00B52B59"/>
    <w:rsid w:val="00B53333"/>
    <w:rsid w:val="00B53C48"/>
    <w:rsid w:val="00B53DEA"/>
    <w:rsid w:val="00B54C9C"/>
    <w:rsid w:val="00B55DC1"/>
    <w:rsid w:val="00B55E14"/>
    <w:rsid w:val="00B56414"/>
    <w:rsid w:val="00B5657F"/>
    <w:rsid w:val="00B568FB"/>
    <w:rsid w:val="00B57527"/>
    <w:rsid w:val="00B57ECF"/>
    <w:rsid w:val="00B60036"/>
    <w:rsid w:val="00B6037F"/>
    <w:rsid w:val="00B607BD"/>
    <w:rsid w:val="00B612EC"/>
    <w:rsid w:val="00B61AC2"/>
    <w:rsid w:val="00B61DDF"/>
    <w:rsid w:val="00B6258B"/>
    <w:rsid w:val="00B62C78"/>
    <w:rsid w:val="00B64053"/>
    <w:rsid w:val="00B644FC"/>
    <w:rsid w:val="00B65524"/>
    <w:rsid w:val="00B65F3F"/>
    <w:rsid w:val="00B66332"/>
    <w:rsid w:val="00B66B56"/>
    <w:rsid w:val="00B67806"/>
    <w:rsid w:val="00B67D3F"/>
    <w:rsid w:val="00B67F48"/>
    <w:rsid w:val="00B713E2"/>
    <w:rsid w:val="00B71C4B"/>
    <w:rsid w:val="00B723B7"/>
    <w:rsid w:val="00B725EB"/>
    <w:rsid w:val="00B726B3"/>
    <w:rsid w:val="00B72759"/>
    <w:rsid w:val="00B737C9"/>
    <w:rsid w:val="00B73985"/>
    <w:rsid w:val="00B73F3F"/>
    <w:rsid w:val="00B74662"/>
    <w:rsid w:val="00B74A28"/>
    <w:rsid w:val="00B75373"/>
    <w:rsid w:val="00B75BA6"/>
    <w:rsid w:val="00B75CF3"/>
    <w:rsid w:val="00B75EB7"/>
    <w:rsid w:val="00B761FC"/>
    <w:rsid w:val="00B763EC"/>
    <w:rsid w:val="00B765CB"/>
    <w:rsid w:val="00B7757B"/>
    <w:rsid w:val="00B7783F"/>
    <w:rsid w:val="00B8045B"/>
    <w:rsid w:val="00B81081"/>
    <w:rsid w:val="00B826AB"/>
    <w:rsid w:val="00B827B0"/>
    <w:rsid w:val="00B82F94"/>
    <w:rsid w:val="00B834EF"/>
    <w:rsid w:val="00B83541"/>
    <w:rsid w:val="00B84A90"/>
    <w:rsid w:val="00B84C4E"/>
    <w:rsid w:val="00B84FCC"/>
    <w:rsid w:val="00B852C5"/>
    <w:rsid w:val="00B85A17"/>
    <w:rsid w:val="00B863AB"/>
    <w:rsid w:val="00B86E66"/>
    <w:rsid w:val="00B87459"/>
    <w:rsid w:val="00B87C24"/>
    <w:rsid w:val="00B9066E"/>
    <w:rsid w:val="00B9110E"/>
    <w:rsid w:val="00B91598"/>
    <w:rsid w:val="00B9188E"/>
    <w:rsid w:val="00B92125"/>
    <w:rsid w:val="00B9213E"/>
    <w:rsid w:val="00B92A69"/>
    <w:rsid w:val="00B9348E"/>
    <w:rsid w:val="00B934F9"/>
    <w:rsid w:val="00B95230"/>
    <w:rsid w:val="00B957B9"/>
    <w:rsid w:val="00B95D2E"/>
    <w:rsid w:val="00B96993"/>
    <w:rsid w:val="00B971F7"/>
    <w:rsid w:val="00B975FF"/>
    <w:rsid w:val="00B97671"/>
    <w:rsid w:val="00B97837"/>
    <w:rsid w:val="00B97B95"/>
    <w:rsid w:val="00BA00F7"/>
    <w:rsid w:val="00BA0D02"/>
    <w:rsid w:val="00BA0FA5"/>
    <w:rsid w:val="00BA1054"/>
    <w:rsid w:val="00BA10D9"/>
    <w:rsid w:val="00BA1BA3"/>
    <w:rsid w:val="00BA1BCD"/>
    <w:rsid w:val="00BA1CF7"/>
    <w:rsid w:val="00BA2467"/>
    <w:rsid w:val="00BA2A04"/>
    <w:rsid w:val="00BA33A2"/>
    <w:rsid w:val="00BA3418"/>
    <w:rsid w:val="00BA36EF"/>
    <w:rsid w:val="00BA3CFB"/>
    <w:rsid w:val="00BA4B98"/>
    <w:rsid w:val="00BA60E5"/>
    <w:rsid w:val="00BA6E6B"/>
    <w:rsid w:val="00BA7002"/>
    <w:rsid w:val="00BA74B5"/>
    <w:rsid w:val="00BA7E00"/>
    <w:rsid w:val="00BB1556"/>
    <w:rsid w:val="00BB180A"/>
    <w:rsid w:val="00BB1AE7"/>
    <w:rsid w:val="00BB1BD7"/>
    <w:rsid w:val="00BB34AC"/>
    <w:rsid w:val="00BB35F1"/>
    <w:rsid w:val="00BB36D2"/>
    <w:rsid w:val="00BB38C6"/>
    <w:rsid w:val="00BB4583"/>
    <w:rsid w:val="00BB4D20"/>
    <w:rsid w:val="00BB518F"/>
    <w:rsid w:val="00BB616F"/>
    <w:rsid w:val="00BB65B9"/>
    <w:rsid w:val="00BB6613"/>
    <w:rsid w:val="00BB79A4"/>
    <w:rsid w:val="00BB7AFC"/>
    <w:rsid w:val="00BC0D86"/>
    <w:rsid w:val="00BC1699"/>
    <w:rsid w:val="00BC1E70"/>
    <w:rsid w:val="00BC3067"/>
    <w:rsid w:val="00BC363D"/>
    <w:rsid w:val="00BC3DE3"/>
    <w:rsid w:val="00BC4203"/>
    <w:rsid w:val="00BC4DD0"/>
    <w:rsid w:val="00BC54D8"/>
    <w:rsid w:val="00BC5D80"/>
    <w:rsid w:val="00BC7BB1"/>
    <w:rsid w:val="00BC7EE3"/>
    <w:rsid w:val="00BC7EE4"/>
    <w:rsid w:val="00BD0D0F"/>
    <w:rsid w:val="00BD1C99"/>
    <w:rsid w:val="00BD1E7B"/>
    <w:rsid w:val="00BD47F7"/>
    <w:rsid w:val="00BD4B21"/>
    <w:rsid w:val="00BD52DD"/>
    <w:rsid w:val="00BD53D5"/>
    <w:rsid w:val="00BD6D84"/>
    <w:rsid w:val="00BD6FF1"/>
    <w:rsid w:val="00BD71F8"/>
    <w:rsid w:val="00BD7A1D"/>
    <w:rsid w:val="00BE0250"/>
    <w:rsid w:val="00BE07F5"/>
    <w:rsid w:val="00BE0CCE"/>
    <w:rsid w:val="00BE20AD"/>
    <w:rsid w:val="00BE2309"/>
    <w:rsid w:val="00BE35D1"/>
    <w:rsid w:val="00BE4204"/>
    <w:rsid w:val="00BE4754"/>
    <w:rsid w:val="00BE529D"/>
    <w:rsid w:val="00BE582E"/>
    <w:rsid w:val="00BE62A9"/>
    <w:rsid w:val="00BE6CAC"/>
    <w:rsid w:val="00BE7108"/>
    <w:rsid w:val="00BF04E7"/>
    <w:rsid w:val="00BF0B4B"/>
    <w:rsid w:val="00BF158E"/>
    <w:rsid w:val="00BF2B56"/>
    <w:rsid w:val="00BF3139"/>
    <w:rsid w:val="00BF32E8"/>
    <w:rsid w:val="00BF39A9"/>
    <w:rsid w:val="00BF3A26"/>
    <w:rsid w:val="00BF3D42"/>
    <w:rsid w:val="00BF4061"/>
    <w:rsid w:val="00BF4549"/>
    <w:rsid w:val="00BF49D5"/>
    <w:rsid w:val="00BF7060"/>
    <w:rsid w:val="00BF775F"/>
    <w:rsid w:val="00C0191B"/>
    <w:rsid w:val="00C023B5"/>
    <w:rsid w:val="00C02A2A"/>
    <w:rsid w:val="00C03469"/>
    <w:rsid w:val="00C03866"/>
    <w:rsid w:val="00C03C7A"/>
    <w:rsid w:val="00C0426E"/>
    <w:rsid w:val="00C045AD"/>
    <w:rsid w:val="00C050C4"/>
    <w:rsid w:val="00C05324"/>
    <w:rsid w:val="00C05DD5"/>
    <w:rsid w:val="00C067EC"/>
    <w:rsid w:val="00C06AC1"/>
    <w:rsid w:val="00C06DC9"/>
    <w:rsid w:val="00C077D0"/>
    <w:rsid w:val="00C07E8B"/>
    <w:rsid w:val="00C1061D"/>
    <w:rsid w:val="00C10AC4"/>
    <w:rsid w:val="00C10C29"/>
    <w:rsid w:val="00C10F31"/>
    <w:rsid w:val="00C117D1"/>
    <w:rsid w:val="00C11AA8"/>
    <w:rsid w:val="00C12138"/>
    <w:rsid w:val="00C124E7"/>
    <w:rsid w:val="00C12830"/>
    <w:rsid w:val="00C12CDF"/>
    <w:rsid w:val="00C138D7"/>
    <w:rsid w:val="00C147AE"/>
    <w:rsid w:val="00C14F69"/>
    <w:rsid w:val="00C15D52"/>
    <w:rsid w:val="00C17499"/>
    <w:rsid w:val="00C175CE"/>
    <w:rsid w:val="00C17825"/>
    <w:rsid w:val="00C17955"/>
    <w:rsid w:val="00C179C5"/>
    <w:rsid w:val="00C17DDD"/>
    <w:rsid w:val="00C218D1"/>
    <w:rsid w:val="00C237F0"/>
    <w:rsid w:val="00C25630"/>
    <w:rsid w:val="00C25A25"/>
    <w:rsid w:val="00C27448"/>
    <w:rsid w:val="00C30364"/>
    <w:rsid w:val="00C3056A"/>
    <w:rsid w:val="00C31C8F"/>
    <w:rsid w:val="00C35AFB"/>
    <w:rsid w:val="00C36661"/>
    <w:rsid w:val="00C36A22"/>
    <w:rsid w:val="00C37837"/>
    <w:rsid w:val="00C37935"/>
    <w:rsid w:val="00C40987"/>
    <w:rsid w:val="00C40B9B"/>
    <w:rsid w:val="00C4172B"/>
    <w:rsid w:val="00C4175C"/>
    <w:rsid w:val="00C41D2A"/>
    <w:rsid w:val="00C43081"/>
    <w:rsid w:val="00C4372B"/>
    <w:rsid w:val="00C4575C"/>
    <w:rsid w:val="00C45B61"/>
    <w:rsid w:val="00C45D35"/>
    <w:rsid w:val="00C47B5A"/>
    <w:rsid w:val="00C502B9"/>
    <w:rsid w:val="00C515AC"/>
    <w:rsid w:val="00C52D62"/>
    <w:rsid w:val="00C52EA8"/>
    <w:rsid w:val="00C53E5E"/>
    <w:rsid w:val="00C541D9"/>
    <w:rsid w:val="00C54735"/>
    <w:rsid w:val="00C5520A"/>
    <w:rsid w:val="00C5556D"/>
    <w:rsid w:val="00C55820"/>
    <w:rsid w:val="00C56426"/>
    <w:rsid w:val="00C56B03"/>
    <w:rsid w:val="00C56C31"/>
    <w:rsid w:val="00C56C96"/>
    <w:rsid w:val="00C57669"/>
    <w:rsid w:val="00C57AF5"/>
    <w:rsid w:val="00C6001E"/>
    <w:rsid w:val="00C60C7C"/>
    <w:rsid w:val="00C61B44"/>
    <w:rsid w:val="00C61EF0"/>
    <w:rsid w:val="00C62294"/>
    <w:rsid w:val="00C62DE2"/>
    <w:rsid w:val="00C6353B"/>
    <w:rsid w:val="00C63B8A"/>
    <w:rsid w:val="00C63DBE"/>
    <w:rsid w:val="00C6405C"/>
    <w:rsid w:val="00C643F6"/>
    <w:rsid w:val="00C64EA0"/>
    <w:rsid w:val="00C657E4"/>
    <w:rsid w:val="00C65BDC"/>
    <w:rsid w:val="00C65C15"/>
    <w:rsid w:val="00C662CC"/>
    <w:rsid w:val="00C6657E"/>
    <w:rsid w:val="00C67E04"/>
    <w:rsid w:val="00C70268"/>
    <w:rsid w:val="00C7032D"/>
    <w:rsid w:val="00C708FC"/>
    <w:rsid w:val="00C70AE8"/>
    <w:rsid w:val="00C70BDE"/>
    <w:rsid w:val="00C70CB2"/>
    <w:rsid w:val="00C70D07"/>
    <w:rsid w:val="00C722DA"/>
    <w:rsid w:val="00C727EC"/>
    <w:rsid w:val="00C727F8"/>
    <w:rsid w:val="00C738F6"/>
    <w:rsid w:val="00C7546F"/>
    <w:rsid w:val="00C76607"/>
    <w:rsid w:val="00C77634"/>
    <w:rsid w:val="00C776EE"/>
    <w:rsid w:val="00C8157E"/>
    <w:rsid w:val="00C82948"/>
    <w:rsid w:val="00C83718"/>
    <w:rsid w:val="00C845B0"/>
    <w:rsid w:val="00C84EC4"/>
    <w:rsid w:val="00C85211"/>
    <w:rsid w:val="00C85BF4"/>
    <w:rsid w:val="00C8737B"/>
    <w:rsid w:val="00C9081A"/>
    <w:rsid w:val="00C908A8"/>
    <w:rsid w:val="00C90D06"/>
    <w:rsid w:val="00C90F08"/>
    <w:rsid w:val="00C930D1"/>
    <w:rsid w:val="00C93EE9"/>
    <w:rsid w:val="00C94006"/>
    <w:rsid w:val="00C942EE"/>
    <w:rsid w:val="00C95E82"/>
    <w:rsid w:val="00C967BC"/>
    <w:rsid w:val="00C974C3"/>
    <w:rsid w:val="00C97A42"/>
    <w:rsid w:val="00C97F71"/>
    <w:rsid w:val="00CA129D"/>
    <w:rsid w:val="00CA1B42"/>
    <w:rsid w:val="00CA1D66"/>
    <w:rsid w:val="00CA2735"/>
    <w:rsid w:val="00CA3BEC"/>
    <w:rsid w:val="00CA45E4"/>
    <w:rsid w:val="00CA5162"/>
    <w:rsid w:val="00CA5801"/>
    <w:rsid w:val="00CA6D19"/>
    <w:rsid w:val="00CB06BC"/>
    <w:rsid w:val="00CB0B47"/>
    <w:rsid w:val="00CB0BE7"/>
    <w:rsid w:val="00CB0BF4"/>
    <w:rsid w:val="00CB13BC"/>
    <w:rsid w:val="00CB14BA"/>
    <w:rsid w:val="00CB19DA"/>
    <w:rsid w:val="00CB1D22"/>
    <w:rsid w:val="00CB1DFD"/>
    <w:rsid w:val="00CB1EB8"/>
    <w:rsid w:val="00CB360F"/>
    <w:rsid w:val="00CB5A02"/>
    <w:rsid w:val="00CB5FB3"/>
    <w:rsid w:val="00CB5FC7"/>
    <w:rsid w:val="00CB6E77"/>
    <w:rsid w:val="00CB6E83"/>
    <w:rsid w:val="00CB78FB"/>
    <w:rsid w:val="00CC03A5"/>
    <w:rsid w:val="00CC1AFE"/>
    <w:rsid w:val="00CC1BB3"/>
    <w:rsid w:val="00CC225C"/>
    <w:rsid w:val="00CC2394"/>
    <w:rsid w:val="00CC27F8"/>
    <w:rsid w:val="00CC2D8A"/>
    <w:rsid w:val="00CC3ED3"/>
    <w:rsid w:val="00CC3FF9"/>
    <w:rsid w:val="00CC48F5"/>
    <w:rsid w:val="00CC580C"/>
    <w:rsid w:val="00CC6D85"/>
    <w:rsid w:val="00CC723C"/>
    <w:rsid w:val="00CD0C86"/>
    <w:rsid w:val="00CD10A4"/>
    <w:rsid w:val="00CD10F0"/>
    <w:rsid w:val="00CD1F49"/>
    <w:rsid w:val="00CD24A0"/>
    <w:rsid w:val="00CD29E6"/>
    <w:rsid w:val="00CD35FE"/>
    <w:rsid w:val="00CD36A3"/>
    <w:rsid w:val="00CD3821"/>
    <w:rsid w:val="00CD6230"/>
    <w:rsid w:val="00CE0175"/>
    <w:rsid w:val="00CE0309"/>
    <w:rsid w:val="00CE14D0"/>
    <w:rsid w:val="00CE18C9"/>
    <w:rsid w:val="00CE18FE"/>
    <w:rsid w:val="00CE19A3"/>
    <w:rsid w:val="00CE2CA8"/>
    <w:rsid w:val="00CE6EFA"/>
    <w:rsid w:val="00CE7D94"/>
    <w:rsid w:val="00CF1351"/>
    <w:rsid w:val="00CF282D"/>
    <w:rsid w:val="00CF2E74"/>
    <w:rsid w:val="00CF3AC1"/>
    <w:rsid w:val="00CF3CC3"/>
    <w:rsid w:val="00CF3D74"/>
    <w:rsid w:val="00CF4249"/>
    <w:rsid w:val="00CF53D6"/>
    <w:rsid w:val="00CF554C"/>
    <w:rsid w:val="00CF5740"/>
    <w:rsid w:val="00CF5919"/>
    <w:rsid w:val="00CF5E56"/>
    <w:rsid w:val="00CF6359"/>
    <w:rsid w:val="00CF79F1"/>
    <w:rsid w:val="00CF7BEF"/>
    <w:rsid w:val="00D000EA"/>
    <w:rsid w:val="00D0067B"/>
    <w:rsid w:val="00D00C65"/>
    <w:rsid w:val="00D0109C"/>
    <w:rsid w:val="00D01375"/>
    <w:rsid w:val="00D03ADB"/>
    <w:rsid w:val="00D0575C"/>
    <w:rsid w:val="00D078E2"/>
    <w:rsid w:val="00D07F11"/>
    <w:rsid w:val="00D10207"/>
    <w:rsid w:val="00D10B3E"/>
    <w:rsid w:val="00D116CD"/>
    <w:rsid w:val="00D11783"/>
    <w:rsid w:val="00D12352"/>
    <w:rsid w:val="00D1274C"/>
    <w:rsid w:val="00D12F6C"/>
    <w:rsid w:val="00D13166"/>
    <w:rsid w:val="00D13322"/>
    <w:rsid w:val="00D134F4"/>
    <w:rsid w:val="00D14F8D"/>
    <w:rsid w:val="00D15926"/>
    <w:rsid w:val="00D15DE5"/>
    <w:rsid w:val="00D16502"/>
    <w:rsid w:val="00D16833"/>
    <w:rsid w:val="00D17D96"/>
    <w:rsid w:val="00D206B2"/>
    <w:rsid w:val="00D21515"/>
    <w:rsid w:val="00D21748"/>
    <w:rsid w:val="00D220FF"/>
    <w:rsid w:val="00D2371F"/>
    <w:rsid w:val="00D23749"/>
    <w:rsid w:val="00D23C8D"/>
    <w:rsid w:val="00D24E93"/>
    <w:rsid w:val="00D25127"/>
    <w:rsid w:val="00D25537"/>
    <w:rsid w:val="00D26816"/>
    <w:rsid w:val="00D27180"/>
    <w:rsid w:val="00D27884"/>
    <w:rsid w:val="00D301F1"/>
    <w:rsid w:val="00D30713"/>
    <w:rsid w:val="00D31C88"/>
    <w:rsid w:val="00D3233C"/>
    <w:rsid w:val="00D347C4"/>
    <w:rsid w:val="00D34B88"/>
    <w:rsid w:val="00D35017"/>
    <w:rsid w:val="00D36169"/>
    <w:rsid w:val="00D36FB7"/>
    <w:rsid w:val="00D37CCA"/>
    <w:rsid w:val="00D37CE4"/>
    <w:rsid w:val="00D37D4B"/>
    <w:rsid w:val="00D37FBD"/>
    <w:rsid w:val="00D4002C"/>
    <w:rsid w:val="00D4043F"/>
    <w:rsid w:val="00D4141F"/>
    <w:rsid w:val="00D41820"/>
    <w:rsid w:val="00D41AA1"/>
    <w:rsid w:val="00D434F9"/>
    <w:rsid w:val="00D44190"/>
    <w:rsid w:val="00D45C0A"/>
    <w:rsid w:val="00D4630A"/>
    <w:rsid w:val="00D46494"/>
    <w:rsid w:val="00D467E3"/>
    <w:rsid w:val="00D46B23"/>
    <w:rsid w:val="00D46FCB"/>
    <w:rsid w:val="00D475D7"/>
    <w:rsid w:val="00D50411"/>
    <w:rsid w:val="00D50425"/>
    <w:rsid w:val="00D504FB"/>
    <w:rsid w:val="00D51DE9"/>
    <w:rsid w:val="00D522A2"/>
    <w:rsid w:val="00D54450"/>
    <w:rsid w:val="00D556CC"/>
    <w:rsid w:val="00D55A3E"/>
    <w:rsid w:val="00D55B71"/>
    <w:rsid w:val="00D570FA"/>
    <w:rsid w:val="00D574D1"/>
    <w:rsid w:val="00D57C7A"/>
    <w:rsid w:val="00D6011A"/>
    <w:rsid w:val="00D60160"/>
    <w:rsid w:val="00D611BC"/>
    <w:rsid w:val="00D6142D"/>
    <w:rsid w:val="00D6152C"/>
    <w:rsid w:val="00D620D1"/>
    <w:rsid w:val="00D62381"/>
    <w:rsid w:val="00D62689"/>
    <w:rsid w:val="00D62F34"/>
    <w:rsid w:val="00D62FCA"/>
    <w:rsid w:val="00D65DE9"/>
    <w:rsid w:val="00D65E10"/>
    <w:rsid w:val="00D66442"/>
    <w:rsid w:val="00D679CD"/>
    <w:rsid w:val="00D67AFE"/>
    <w:rsid w:val="00D70735"/>
    <w:rsid w:val="00D716C6"/>
    <w:rsid w:val="00D721E7"/>
    <w:rsid w:val="00D72360"/>
    <w:rsid w:val="00D73A72"/>
    <w:rsid w:val="00D747C1"/>
    <w:rsid w:val="00D751A1"/>
    <w:rsid w:val="00D7610D"/>
    <w:rsid w:val="00D76C33"/>
    <w:rsid w:val="00D770A5"/>
    <w:rsid w:val="00D777E4"/>
    <w:rsid w:val="00D803F9"/>
    <w:rsid w:val="00D8041C"/>
    <w:rsid w:val="00D80885"/>
    <w:rsid w:val="00D813CA"/>
    <w:rsid w:val="00D81987"/>
    <w:rsid w:val="00D81A69"/>
    <w:rsid w:val="00D81DAC"/>
    <w:rsid w:val="00D82629"/>
    <w:rsid w:val="00D82A91"/>
    <w:rsid w:val="00D830C7"/>
    <w:rsid w:val="00D83AF7"/>
    <w:rsid w:val="00D84869"/>
    <w:rsid w:val="00D84C87"/>
    <w:rsid w:val="00D85694"/>
    <w:rsid w:val="00D85FEE"/>
    <w:rsid w:val="00D860CD"/>
    <w:rsid w:val="00D86126"/>
    <w:rsid w:val="00D86580"/>
    <w:rsid w:val="00D8673E"/>
    <w:rsid w:val="00D873E9"/>
    <w:rsid w:val="00D9013C"/>
    <w:rsid w:val="00D912E0"/>
    <w:rsid w:val="00D913AF"/>
    <w:rsid w:val="00D91C05"/>
    <w:rsid w:val="00D92410"/>
    <w:rsid w:val="00D930D1"/>
    <w:rsid w:val="00D94180"/>
    <w:rsid w:val="00D94448"/>
    <w:rsid w:val="00D944CA"/>
    <w:rsid w:val="00D959F0"/>
    <w:rsid w:val="00D963F3"/>
    <w:rsid w:val="00D9678A"/>
    <w:rsid w:val="00D97BE7"/>
    <w:rsid w:val="00D97E6C"/>
    <w:rsid w:val="00DA0278"/>
    <w:rsid w:val="00DA045B"/>
    <w:rsid w:val="00DA0F6C"/>
    <w:rsid w:val="00DA1157"/>
    <w:rsid w:val="00DA115B"/>
    <w:rsid w:val="00DA1E9D"/>
    <w:rsid w:val="00DA39FF"/>
    <w:rsid w:val="00DA424F"/>
    <w:rsid w:val="00DA4373"/>
    <w:rsid w:val="00DA4FB4"/>
    <w:rsid w:val="00DA5DD5"/>
    <w:rsid w:val="00DA618E"/>
    <w:rsid w:val="00DA673A"/>
    <w:rsid w:val="00DA6EB5"/>
    <w:rsid w:val="00DA7398"/>
    <w:rsid w:val="00DB06F5"/>
    <w:rsid w:val="00DB0B48"/>
    <w:rsid w:val="00DB111A"/>
    <w:rsid w:val="00DB227A"/>
    <w:rsid w:val="00DB255E"/>
    <w:rsid w:val="00DB3328"/>
    <w:rsid w:val="00DB3720"/>
    <w:rsid w:val="00DB3C2D"/>
    <w:rsid w:val="00DB4235"/>
    <w:rsid w:val="00DB4625"/>
    <w:rsid w:val="00DB53B7"/>
    <w:rsid w:val="00DB5567"/>
    <w:rsid w:val="00DB57AE"/>
    <w:rsid w:val="00DB6F5A"/>
    <w:rsid w:val="00DB74E1"/>
    <w:rsid w:val="00DB770C"/>
    <w:rsid w:val="00DB7E11"/>
    <w:rsid w:val="00DC085D"/>
    <w:rsid w:val="00DC0E3A"/>
    <w:rsid w:val="00DC12C9"/>
    <w:rsid w:val="00DC14A0"/>
    <w:rsid w:val="00DC1769"/>
    <w:rsid w:val="00DC1934"/>
    <w:rsid w:val="00DC1BF7"/>
    <w:rsid w:val="00DC1C7C"/>
    <w:rsid w:val="00DC1FFA"/>
    <w:rsid w:val="00DC2ED0"/>
    <w:rsid w:val="00DC35C6"/>
    <w:rsid w:val="00DC45A8"/>
    <w:rsid w:val="00DC4CD8"/>
    <w:rsid w:val="00DC5123"/>
    <w:rsid w:val="00DC5394"/>
    <w:rsid w:val="00DC6078"/>
    <w:rsid w:val="00DC7A3C"/>
    <w:rsid w:val="00DC7E98"/>
    <w:rsid w:val="00DD0A15"/>
    <w:rsid w:val="00DD13A0"/>
    <w:rsid w:val="00DD1784"/>
    <w:rsid w:val="00DD1AEA"/>
    <w:rsid w:val="00DD2A88"/>
    <w:rsid w:val="00DD35D6"/>
    <w:rsid w:val="00DD3670"/>
    <w:rsid w:val="00DD3874"/>
    <w:rsid w:val="00DD3D2E"/>
    <w:rsid w:val="00DD4265"/>
    <w:rsid w:val="00DD4C47"/>
    <w:rsid w:val="00DD56DD"/>
    <w:rsid w:val="00DD5D23"/>
    <w:rsid w:val="00DD6055"/>
    <w:rsid w:val="00DD6F2E"/>
    <w:rsid w:val="00DE00EF"/>
    <w:rsid w:val="00DE0A15"/>
    <w:rsid w:val="00DE1CC1"/>
    <w:rsid w:val="00DE283A"/>
    <w:rsid w:val="00DE2DC7"/>
    <w:rsid w:val="00DE2FF9"/>
    <w:rsid w:val="00DE4354"/>
    <w:rsid w:val="00DE4781"/>
    <w:rsid w:val="00DE4FCB"/>
    <w:rsid w:val="00DE52E6"/>
    <w:rsid w:val="00DE569E"/>
    <w:rsid w:val="00DE5CB4"/>
    <w:rsid w:val="00DE6222"/>
    <w:rsid w:val="00DE6435"/>
    <w:rsid w:val="00DE7018"/>
    <w:rsid w:val="00DE7716"/>
    <w:rsid w:val="00DE7FA0"/>
    <w:rsid w:val="00DF0428"/>
    <w:rsid w:val="00DF0F71"/>
    <w:rsid w:val="00DF127A"/>
    <w:rsid w:val="00DF1CBB"/>
    <w:rsid w:val="00DF225D"/>
    <w:rsid w:val="00DF3402"/>
    <w:rsid w:val="00DF428A"/>
    <w:rsid w:val="00DF4369"/>
    <w:rsid w:val="00DF4443"/>
    <w:rsid w:val="00DF48E4"/>
    <w:rsid w:val="00DF7B16"/>
    <w:rsid w:val="00DF7DE0"/>
    <w:rsid w:val="00E00660"/>
    <w:rsid w:val="00E01100"/>
    <w:rsid w:val="00E01A50"/>
    <w:rsid w:val="00E01FB1"/>
    <w:rsid w:val="00E02295"/>
    <w:rsid w:val="00E026C6"/>
    <w:rsid w:val="00E029DA"/>
    <w:rsid w:val="00E02A1D"/>
    <w:rsid w:val="00E02E03"/>
    <w:rsid w:val="00E03436"/>
    <w:rsid w:val="00E03590"/>
    <w:rsid w:val="00E03AF9"/>
    <w:rsid w:val="00E03CFA"/>
    <w:rsid w:val="00E03E25"/>
    <w:rsid w:val="00E03FD4"/>
    <w:rsid w:val="00E04242"/>
    <w:rsid w:val="00E04B98"/>
    <w:rsid w:val="00E04DA8"/>
    <w:rsid w:val="00E05F6A"/>
    <w:rsid w:val="00E06356"/>
    <w:rsid w:val="00E063DE"/>
    <w:rsid w:val="00E06514"/>
    <w:rsid w:val="00E068B0"/>
    <w:rsid w:val="00E0751A"/>
    <w:rsid w:val="00E10633"/>
    <w:rsid w:val="00E10A18"/>
    <w:rsid w:val="00E10ED4"/>
    <w:rsid w:val="00E11A21"/>
    <w:rsid w:val="00E11B35"/>
    <w:rsid w:val="00E120C3"/>
    <w:rsid w:val="00E121C7"/>
    <w:rsid w:val="00E12C9E"/>
    <w:rsid w:val="00E12CD1"/>
    <w:rsid w:val="00E13050"/>
    <w:rsid w:val="00E132BB"/>
    <w:rsid w:val="00E136AC"/>
    <w:rsid w:val="00E1397C"/>
    <w:rsid w:val="00E139C0"/>
    <w:rsid w:val="00E13AE5"/>
    <w:rsid w:val="00E14E03"/>
    <w:rsid w:val="00E16D0E"/>
    <w:rsid w:val="00E16F20"/>
    <w:rsid w:val="00E176DD"/>
    <w:rsid w:val="00E17C2A"/>
    <w:rsid w:val="00E17CAD"/>
    <w:rsid w:val="00E2065A"/>
    <w:rsid w:val="00E20C9F"/>
    <w:rsid w:val="00E20EDD"/>
    <w:rsid w:val="00E211BC"/>
    <w:rsid w:val="00E22294"/>
    <w:rsid w:val="00E22CD4"/>
    <w:rsid w:val="00E23583"/>
    <w:rsid w:val="00E2372C"/>
    <w:rsid w:val="00E2380E"/>
    <w:rsid w:val="00E23CCC"/>
    <w:rsid w:val="00E23D83"/>
    <w:rsid w:val="00E24071"/>
    <w:rsid w:val="00E24801"/>
    <w:rsid w:val="00E249FE"/>
    <w:rsid w:val="00E258A2"/>
    <w:rsid w:val="00E25913"/>
    <w:rsid w:val="00E2599B"/>
    <w:rsid w:val="00E266A3"/>
    <w:rsid w:val="00E27344"/>
    <w:rsid w:val="00E302BC"/>
    <w:rsid w:val="00E30384"/>
    <w:rsid w:val="00E30CC4"/>
    <w:rsid w:val="00E3173F"/>
    <w:rsid w:val="00E31BF9"/>
    <w:rsid w:val="00E31D7E"/>
    <w:rsid w:val="00E32226"/>
    <w:rsid w:val="00E322C8"/>
    <w:rsid w:val="00E32410"/>
    <w:rsid w:val="00E32B23"/>
    <w:rsid w:val="00E3316F"/>
    <w:rsid w:val="00E3449C"/>
    <w:rsid w:val="00E34E9C"/>
    <w:rsid w:val="00E35015"/>
    <w:rsid w:val="00E3581F"/>
    <w:rsid w:val="00E359F9"/>
    <w:rsid w:val="00E373B3"/>
    <w:rsid w:val="00E37529"/>
    <w:rsid w:val="00E40699"/>
    <w:rsid w:val="00E40DB3"/>
    <w:rsid w:val="00E414E0"/>
    <w:rsid w:val="00E41674"/>
    <w:rsid w:val="00E422E1"/>
    <w:rsid w:val="00E4324B"/>
    <w:rsid w:val="00E43789"/>
    <w:rsid w:val="00E43E6D"/>
    <w:rsid w:val="00E447D8"/>
    <w:rsid w:val="00E44A12"/>
    <w:rsid w:val="00E468A3"/>
    <w:rsid w:val="00E46A1F"/>
    <w:rsid w:val="00E46F78"/>
    <w:rsid w:val="00E47803"/>
    <w:rsid w:val="00E50BDF"/>
    <w:rsid w:val="00E50F04"/>
    <w:rsid w:val="00E53469"/>
    <w:rsid w:val="00E53C7E"/>
    <w:rsid w:val="00E53D76"/>
    <w:rsid w:val="00E54900"/>
    <w:rsid w:val="00E5521C"/>
    <w:rsid w:val="00E555A4"/>
    <w:rsid w:val="00E56448"/>
    <w:rsid w:val="00E56ACD"/>
    <w:rsid w:val="00E577EE"/>
    <w:rsid w:val="00E57CD2"/>
    <w:rsid w:val="00E60092"/>
    <w:rsid w:val="00E60416"/>
    <w:rsid w:val="00E606F5"/>
    <w:rsid w:val="00E60E18"/>
    <w:rsid w:val="00E61D38"/>
    <w:rsid w:val="00E62B9B"/>
    <w:rsid w:val="00E62EFF"/>
    <w:rsid w:val="00E642D6"/>
    <w:rsid w:val="00E64637"/>
    <w:rsid w:val="00E651E3"/>
    <w:rsid w:val="00E65796"/>
    <w:rsid w:val="00E659EB"/>
    <w:rsid w:val="00E65AD1"/>
    <w:rsid w:val="00E66223"/>
    <w:rsid w:val="00E66767"/>
    <w:rsid w:val="00E708CB"/>
    <w:rsid w:val="00E70A33"/>
    <w:rsid w:val="00E738A1"/>
    <w:rsid w:val="00E73C77"/>
    <w:rsid w:val="00E73F33"/>
    <w:rsid w:val="00E73FD2"/>
    <w:rsid w:val="00E74441"/>
    <w:rsid w:val="00E76203"/>
    <w:rsid w:val="00E77786"/>
    <w:rsid w:val="00E77BB0"/>
    <w:rsid w:val="00E80075"/>
    <w:rsid w:val="00E800B0"/>
    <w:rsid w:val="00E80599"/>
    <w:rsid w:val="00E80733"/>
    <w:rsid w:val="00E810CC"/>
    <w:rsid w:val="00E8138A"/>
    <w:rsid w:val="00E814A9"/>
    <w:rsid w:val="00E83DFF"/>
    <w:rsid w:val="00E8410F"/>
    <w:rsid w:val="00E84699"/>
    <w:rsid w:val="00E848D2"/>
    <w:rsid w:val="00E86372"/>
    <w:rsid w:val="00E86DDE"/>
    <w:rsid w:val="00E870D4"/>
    <w:rsid w:val="00E9025E"/>
    <w:rsid w:val="00E90441"/>
    <w:rsid w:val="00E9044A"/>
    <w:rsid w:val="00E907F0"/>
    <w:rsid w:val="00E90E7B"/>
    <w:rsid w:val="00E91CAF"/>
    <w:rsid w:val="00E92C72"/>
    <w:rsid w:val="00E92DB3"/>
    <w:rsid w:val="00E93605"/>
    <w:rsid w:val="00E939EC"/>
    <w:rsid w:val="00E93D44"/>
    <w:rsid w:val="00E94856"/>
    <w:rsid w:val="00E94978"/>
    <w:rsid w:val="00E949F6"/>
    <w:rsid w:val="00E94F83"/>
    <w:rsid w:val="00E951BF"/>
    <w:rsid w:val="00E95995"/>
    <w:rsid w:val="00E95C99"/>
    <w:rsid w:val="00E965B4"/>
    <w:rsid w:val="00E9669E"/>
    <w:rsid w:val="00E96E22"/>
    <w:rsid w:val="00E97D9E"/>
    <w:rsid w:val="00EA0330"/>
    <w:rsid w:val="00EA0B2D"/>
    <w:rsid w:val="00EA0BC8"/>
    <w:rsid w:val="00EA142E"/>
    <w:rsid w:val="00EA18DA"/>
    <w:rsid w:val="00EA262B"/>
    <w:rsid w:val="00EA380E"/>
    <w:rsid w:val="00EA4371"/>
    <w:rsid w:val="00EA47C7"/>
    <w:rsid w:val="00EA4ACC"/>
    <w:rsid w:val="00EA5312"/>
    <w:rsid w:val="00EA5BDF"/>
    <w:rsid w:val="00EA608C"/>
    <w:rsid w:val="00EA729E"/>
    <w:rsid w:val="00EA7756"/>
    <w:rsid w:val="00EB09D0"/>
    <w:rsid w:val="00EB1223"/>
    <w:rsid w:val="00EB26A0"/>
    <w:rsid w:val="00EB33E4"/>
    <w:rsid w:val="00EB3645"/>
    <w:rsid w:val="00EB3943"/>
    <w:rsid w:val="00EB3DA4"/>
    <w:rsid w:val="00EB453C"/>
    <w:rsid w:val="00EB591D"/>
    <w:rsid w:val="00EB5A8B"/>
    <w:rsid w:val="00EB6608"/>
    <w:rsid w:val="00EB6F7C"/>
    <w:rsid w:val="00EB7D19"/>
    <w:rsid w:val="00EB7F5D"/>
    <w:rsid w:val="00EC0BD0"/>
    <w:rsid w:val="00EC0FFB"/>
    <w:rsid w:val="00EC2089"/>
    <w:rsid w:val="00EC287D"/>
    <w:rsid w:val="00EC438C"/>
    <w:rsid w:val="00EC6146"/>
    <w:rsid w:val="00EC6198"/>
    <w:rsid w:val="00EC6646"/>
    <w:rsid w:val="00EC667A"/>
    <w:rsid w:val="00EC6885"/>
    <w:rsid w:val="00EC6E5E"/>
    <w:rsid w:val="00EC6E87"/>
    <w:rsid w:val="00EC7468"/>
    <w:rsid w:val="00EC78DD"/>
    <w:rsid w:val="00EC7E22"/>
    <w:rsid w:val="00ED0176"/>
    <w:rsid w:val="00ED0F80"/>
    <w:rsid w:val="00ED0FDA"/>
    <w:rsid w:val="00ED113A"/>
    <w:rsid w:val="00ED1EE1"/>
    <w:rsid w:val="00ED22F6"/>
    <w:rsid w:val="00ED2366"/>
    <w:rsid w:val="00ED3346"/>
    <w:rsid w:val="00ED358E"/>
    <w:rsid w:val="00ED38E0"/>
    <w:rsid w:val="00ED3953"/>
    <w:rsid w:val="00ED3993"/>
    <w:rsid w:val="00ED545D"/>
    <w:rsid w:val="00ED54B0"/>
    <w:rsid w:val="00ED5802"/>
    <w:rsid w:val="00ED69FB"/>
    <w:rsid w:val="00ED6AC5"/>
    <w:rsid w:val="00ED77E8"/>
    <w:rsid w:val="00EE19F2"/>
    <w:rsid w:val="00EE237D"/>
    <w:rsid w:val="00EE2C5A"/>
    <w:rsid w:val="00EE6BF6"/>
    <w:rsid w:val="00EE6FFA"/>
    <w:rsid w:val="00EE729B"/>
    <w:rsid w:val="00EE74B2"/>
    <w:rsid w:val="00EE74EE"/>
    <w:rsid w:val="00EE7F56"/>
    <w:rsid w:val="00EF003E"/>
    <w:rsid w:val="00EF0B44"/>
    <w:rsid w:val="00EF1DCD"/>
    <w:rsid w:val="00EF1F87"/>
    <w:rsid w:val="00EF240F"/>
    <w:rsid w:val="00EF41DE"/>
    <w:rsid w:val="00EF483C"/>
    <w:rsid w:val="00EF5004"/>
    <w:rsid w:val="00EF54CB"/>
    <w:rsid w:val="00EF54DB"/>
    <w:rsid w:val="00EF6954"/>
    <w:rsid w:val="00EF6B8A"/>
    <w:rsid w:val="00EF7521"/>
    <w:rsid w:val="00EF795A"/>
    <w:rsid w:val="00EF7DD3"/>
    <w:rsid w:val="00F00047"/>
    <w:rsid w:val="00F00789"/>
    <w:rsid w:val="00F009E7"/>
    <w:rsid w:val="00F012FD"/>
    <w:rsid w:val="00F0203E"/>
    <w:rsid w:val="00F027AC"/>
    <w:rsid w:val="00F0330A"/>
    <w:rsid w:val="00F03BF0"/>
    <w:rsid w:val="00F0509E"/>
    <w:rsid w:val="00F060ED"/>
    <w:rsid w:val="00F06309"/>
    <w:rsid w:val="00F06CAE"/>
    <w:rsid w:val="00F06CB4"/>
    <w:rsid w:val="00F07F24"/>
    <w:rsid w:val="00F10AB1"/>
    <w:rsid w:val="00F111CE"/>
    <w:rsid w:val="00F118D3"/>
    <w:rsid w:val="00F1192A"/>
    <w:rsid w:val="00F1204D"/>
    <w:rsid w:val="00F12EEA"/>
    <w:rsid w:val="00F1443C"/>
    <w:rsid w:val="00F14476"/>
    <w:rsid w:val="00F149E4"/>
    <w:rsid w:val="00F15864"/>
    <w:rsid w:val="00F1605F"/>
    <w:rsid w:val="00F1679B"/>
    <w:rsid w:val="00F171D6"/>
    <w:rsid w:val="00F17306"/>
    <w:rsid w:val="00F17937"/>
    <w:rsid w:val="00F17AD9"/>
    <w:rsid w:val="00F17BAD"/>
    <w:rsid w:val="00F17DFE"/>
    <w:rsid w:val="00F17FDD"/>
    <w:rsid w:val="00F20A9C"/>
    <w:rsid w:val="00F21DAD"/>
    <w:rsid w:val="00F221B5"/>
    <w:rsid w:val="00F239DE"/>
    <w:rsid w:val="00F247ED"/>
    <w:rsid w:val="00F248A3"/>
    <w:rsid w:val="00F24CE2"/>
    <w:rsid w:val="00F252A3"/>
    <w:rsid w:val="00F253DA"/>
    <w:rsid w:val="00F25A87"/>
    <w:rsid w:val="00F25B52"/>
    <w:rsid w:val="00F25C5B"/>
    <w:rsid w:val="00F2602C"/>
    <w:rsid w:val="00F260EC"/>
    <w:rsid w:val="00F26809"/>
    <w:rsid w:val="00F26F21"/>
    <w:rsid w:val="00F273EF"/>
    <w:rsid w:val="00F278A6"/>
    <w:rsid w:val="00F278CB"/>
    <w:rsid w:val="00F31056"/>
    <w:rsid w:val="00F31C06"/>
    <w:rsid w:val="00F32F8F"/>
    <w:rsid w:val="00F33D9D"/>
    <w:rsid w:val="00F35609"/>
    <w:rsid w:val="00F35EBC"/>
    <w:rsid w:val="00F36FBE"/>
    <w:rsid w:val="00F37D2B"/>
    <w:rsid w:val="00F40FA9"/>
    <w:rsid w:val="00F4105E"/>
    <w:rsid w:val="00F428F4"/>
    <w:rsid w:val="00F42DD2"/>
    <w:rsid w:val="00F44CC0"/>
    <w:rsid w:val="00F45651"/>
    <w:rsid w:val="00F458BE"/>
    <w:rsid w:val="00F47726"/>
    <w:rsid w:val="00F47D23"/>
    <w:rsid w:val="00F5013D"/>
    <w:rsid w:val="00F502B8"/>
    <w:rsid w:val="00F508A1"/>
    <w:rsid w:val="00F50D42"/>
    <w:rsid w:val="00F51227"/>
    <w:rsid w:val="00F51503"/>
    <w:rsid w:val="00F51BAB"/>
    <w:rsid w:val="00F51D5E"/>
    <w:rsid w:val="00F52A06"/>
    <w:rsid w:val="00F52B38"/>
    <w:rsid w:val="00F52B61"/>
    <w:rsid w:val="00F531B7"/>
    <w:rsid w:val="00F54B7A"/>
    <w:rsid w:val="00F557BF"/>
    <w:rsid w:val="00F55A6A"/>
    <w:rsid w:val="00F55AF3"/>
    <w:rsid w:val="00F56223"/>
    <w:rsid w:val="00F56886"/>
    <w:rsid w:val="00F60D74"/>
    <w:rsid w:val="00F62B98"/>
    <w:rsid w:val="00F650C5"/>
    <w:rsid w:val="00F65225"/>
    <w:rsid w:val="00F6572C"/>
    <w:rsid w:val="00F6599E"/>
    <w:rsid w:val="00F65B55"/>
    <w:rsid w:val="00F678CC"/>
    <w:rsid w:val="00F7019C"/>
    <w:rsid w:val="00F704FB"/>
    <w:rsid w:val="00F711F6"/>
    <w:rsid w:val="00F7141C"/>
    <w:rsid w:val="00F7161C"/>
    <w:rsid w:val="00F7184D"/>
    <w:rsid w:val="00F71C23"/>
    <w:rsid w:val="00F720DE"/>
    <w:rsid w:val="00F72303"/>
    <w:rsid w:val="00F72C55"/>
    <w:rsid w:val="00F72D70"/>
    <w:rsid w:val="00F72E51"/>
    <w:rsid w:val="00F73C3C"/>
    <w:rsid w:val="00F740B2"/>
    <w:rsid w:val="00F74EC5"/>
    <w:rsid w:val="00F75029"/>
    <w:rsid w:val="00F75284"/>
    <w:rsid w:val="00F76DA8"/>
    <w:rsid w:val="00F77C36"/>
    <w:rsid w:val="00F80DF2"/>
    <w:rsid w:val="00F811CD"/>
    <w:rsid w:val="00F815AC"/>
    <w:rsid w:val="00F81C9A"/>
    <w:rsid w:val="00F829C1"/>
    <w:rsid w:val="00F82B3B"/>
    <w:rsid w:val="00F83225"/>
    <w:rsid w:val="00F83945"/>
    <w:rsid w:val="00F83B6D"/>
    <w:rsid w:val="00F84938"/>
    <w:rsid w:val="00F849D9"/>
    <w:rsid w:val="00F84F2D"/>
    <w:rsid w:val="00F85A89"/>
    <w:rsid w:val="00F85C30"/>
    <w:rsid w:val="00F86608"/>
    <w:rsid w:val="00F86F4A"/>
    <w:rsid w:val="00F90A41"/>
    <w:rsid w:val="00F917EB"/>
    <w:rsid w:val="00F91FAA"/>
    <w:rsid w:val="00F92508"/>
    <w:rsid w:val="00F9288E"/>
    <w:rsid w:val="00F93110"/>
    <w:rsid w:val="00F93423"/>
    <w:rsid w:val="00F94D60"/>
    <w:rsid w:val="00F95172"/>
    <w:rsid w:val="00F95467"/>
    <w:rsid w:val="00F95A64"/>
    <w:rsid w:val="00F95BDE"/>
    <w:rsid w:val="00F960A6"/>
    <w:rsid w:val="00F96162"/>
    <w:rsid w:val="00F96342"/>
    <w:rsid w:val="00F965DD"/>
    <w:rsid w:val="00F968E1"/>
    <w:rsid w:val="00F96989"/>
    <w:rsid w:val="00F97E53"/>
    <w:rsid w:val="00FA0760"/>
    <w:rsid w:val="00FA1338"/>
    <w:rsid w:val="00FA1E9A"/>
    <w:rsid w:val="00FA2043"/>
    <w:rsid w:val="00FA22C0"/>
    <w:rsid w:val="00FA2479"/>
    <w:rsid w:val="00FA26FD"/>
    <w:rsid w:val="00FA2C5C"/>
    <w:rsid w:val="00FA2EAA"/>
    <w:rsid w:val="00FA44C5"/>
    <w:rsid w:val="00FA4A80"/>
    <w:rsid w:val="00FA5148"/>
    <w:rsid w:val="00FA5635"/>
    <w:rsid w:val="00FA578F"/>
    <w:rsid w:val="00FA5ED3"/>
    <w:rsid w:val="00FA5F6E"/>
    <w:rsid w:val="00FA65F9"/>
    <w:rsid w:val="00FA6A31"/>
    <w:rsid w:val="00FA761F"/>
    <w:rsid w:val="00FA7B41"/>
    <w:rsid w:val="00FB0E93"/>
    <w:rsid w:val="00FB14C6"/>
    <w:rsid w:val="00FB224C"/>
    <w:rsid w:val="00FB2666"/>
    <w:rsid w:val="00FB2AC8"/>
    <w:rsid w:val="00FB2F78"/>
    <w:rsid w:val="00FB3375"/>
    <w:rsid w:val="00FB3563"/>
    <w:rsid w:val="00FB39B2"/>
    <w:rsid w:val="00FB3E12"/>
    <w:rsid w:val="00FB448C"/>
    <w:rsid w:val="00FB4621"/>
    <w:rsid w:val="00FB4DBF"/>
    <w:rsid w:val="00FC01CD"/>
    <w:rsid w:val="00FC1960"/>
    <w:rsid w:val="00FC1DF8"/>
    <w:rsid w:val="00FC1E70"/>
    <w:rsid w:val="00FC2345"/>
    <w:rsid w:val="00FC4B1F"/>
    <w:rsid w:val="00FC4EAA"/>
    <w:rsid w:val="00FD1807"/>
    <w:rsid w:val="00FD1922"/>
    <w:rsid w:val="00FD1957"/>
    <w:rsid w:val="00FD1A79"/>
    <w:rsid w:val="00FD334F"/>
    <w:rsid w:val="00FD4845"/>
    <w:rsid w:val="00FD5A29"/>
    <w:rsid w:val="00FD5C7E"/>
    <w:rsid w:val="00FD61E3"/>
    <w:rsid w:val="00FD6272"/>
    <w:rsid w:val="00FD6D81"/>
    <w:rsid w:val="00FD7811"/>
    <w:rsid w:val="00FE00F9"/>
    <w:rsid w:val="00FE1326"/>
    <w:rsid w:val="00FE1422"/>
    <w:rsid w:val="00FE2CA6"/>
    <w:rsid w:val="00FE2D4C"/>
    <w:rsid w:val="00FE31D4"/>
    <w:rsid w:val="00FE348E"/>
    <w:rsid w:val="00FE60ED"/>
    <w:rsid w:val="00FE6B79"/>
    <w:rsid w:val="00FF0396"/>
    <w:rsid w:val="00FF0A1D"/>
    <w:rsid w:val="00FF0B81"/>
    <w:rsid w:val="00FF0D3C"/>
    <w:rsid w:val="00FF13EE"/>
    <w:rsid w:val="00FF27B2"/>
    <w:rsid w:val="00FF3642"/>
    <w:rsid w:val="00FF42D4"/>
    <w:rsid w:val="00FF4BB3"/>
    <w:rsid w:val="00FF5793"/>
    <w:rsid w:val="00FF5991"/>
    <w:rsid w:val="00FF5FA8"/>
    <w:rsid w:val="0783902A"/>
    <w:rsid w:val="0F90D236"/>
    <w:rsid w:val="1D50656E"/>
    <w:rsid w:val="65D842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45B4D0"/>
  <w15:chartTrackingRefBased/>
  <w15:docId w15:val="{DF864404-805A-4AEC-8B00-A38CD1081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toc 1" w:uiPriority="39"/>
    <w:lsdException w:name="toc 2" w:uiPriority="39"/>
    <w:lsdException w:name="toc 3" w:uiPriority="39"/>
    <w:lsdException w:name="footnote text" w:uiPriority="99" w:qFormat="1"/>
    <w:lsdException w:name="annotation text" w:uiPriority="99"/>
    <w:lsdException w:name="caption" w:semiHidden="1" w:unhideWhenUsed="1" w:qFormat="1"/>
    <w:lsdException w:name="footnote reference" w:uiPriority="99" w:qFormat="1"/>
    <w:lsdException w:name="annotation reference" w:uiPriority="99"/>
    <w:lsdException w:name="Hyperlink" w:uiPriority="99"/>
    <w:lsdException w:name="Normal (Web)" w:uiPriority="99"/>
    <w:lsdException w:name="HTML Keyboard" w:semiHidden="1" w:unhideWhenUsed="1"/>
    <w:lsdException w:name="HTML Preformatted"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11783"/>
    <w:pPr>
      <w:spacing w:after="200"/>
      <w:jc w:val="both"/>
    </w:pPr>
    <w:rPr>
      <w:snapToGrid w:val="0"/>
      <w:sz w:val="22"/>
      <w:lang w:val="en-GB"/>
    </w:rPr>
  </w:style>
  <w:style w:type="paragraph" w:styleId="Heading1">
    <w:name w:val="heading 1"/>
    <w:basedOn w:val="Normal"/>
    <w:next w:val="Normal"/>
    <w:pPr>
      <w:keepNext/>
      <w:spacing w:before="240" w:after="60"/>
      <w:outlineLvl w:val="0"/>
    </w:pPr>
    <w:rPr>
      <w:rFonts w:ascii="Arial" w:hAnsi="Arial"/>
      <w:b/>
      <w:kern w:val="28"/>
      <w:sz w:val="28"/>
    </w:rPr>
  </w:style>
  <w:style w:type="paragraph" w:styleId="Heading2">
    <w:name w:val="heading 2"/>
    <w:basedOn w:val="Normal"/>
    <w:next w:val="Normal"/>
    <w:pPr>
      <w:keepNext/>
      <w:keepLines/>
      <w:numPr>
        <w:ilvl w:val="1"/>
        <w:numId w:val="7"/>
      </w:numPr>
      <w:tabs>
        <w:tab w:val="num" w:pos="283"/>
      </w:tabs>
      <w:spacing w:after="120"/>
      <w:ind w:left="283" w:hanging="283"/>
      <w:outlineLvl w:val="1"/>
    </w:pPr>
    <w:rPr>
      <w:b/>
    </w:rPr>
  </w:style>
  <w:style w:type="paragraph" w:styleId="Heading3">
    <w:name w:val="heading 3"/>
    <w:basedOn w:val="Normal"/>
    <w:next w:val="Normal"/>
    <w:pPr>
      <w:keepNext/>
      <w:numPr>
        <w:ilvl w:val="2"/>
        <w:numId w:val="7"/>
      </w:numPr>
      <w:tabs>
        <w:tab w:val="num" w:pos="283"/>
      </w:tabs>
      <w:spacing w:before="240" w:after="60"/>
      <w:ind w:left="283" w:hanging="283"/>
      <w:outlineLvl w:val="2"/>
    </w:pPr>
    <w:rPr>
      <w:b/>
    </w:rPr>
  </w:style>
  <w:style w:type="paragraph" w:styleId="Heading4">
    <w:name w:val="heading 4"/>
    <w:basedOn w:val="Normal"/>
    <w:next w:val="Text4"/>
    <w:link w:val="Heading4Char"/>
    <w:pPr>
      <w:keepNext/>
      <w:spacing w:after="240"/>
      <w:ind w:left="1984" w:hanging="782"/>
      <w:outlineLvl w:val="3"/>
    </w:pPr>
  </w:style>
  <w:style w:type="paragraph" w:styleId="Heading5">
    <w:name w:val="heading 5"/>
    <w:basedOn w:val="Normal"/>
    <w:next w:val="Normal"/>
    <w:pPr>
      <w:numPr>
        <w:ilvl w:val="1"/>
        <w:numId w:val="6"/>
      </w:numPr>
      <w:tabs>
        <w:tab w:val="num" w:pos="0"/>
      </w:tabs>
      <w:spacing w:before="240" w:after="60"/>
      <w:outlineLvl w:val="4"/>
    </w:pPr>
    <w:rPr>
      <w:rFonts w:ascii="Arial" w:hAnsi="Arial"/>
    </w:rPr>
  </w:style>
  <w:style w:type="paragraph" w:styleId="Heading6">
    <w:name w:val="heading 6"/>
    <w:basedOn w:val="Normal"/>
    <w:next w:val="Normal"/>
    <w:pPr>
      <w:numPr>
        <w:ilvl w:val="2"/>
        <w:numId w:val="6"/>
      </w:numPr>
      <w:tabs>
        <w:tab w:val="num" w:pos="0"/>
      </w:tabs>
      <w:spacing w:before="240" w:after="60"/>
      <w:outlineLvl w:val="5"/>
    </w:pPr>
    <w:rPr>
      <w:rFonts w:ascii="Arial" w:hAnsi="Arial"/>
      <w:i/>
    </w:rPr>
  </w:style>
  <w:style w:type="paragraph" w:styleId="Heading7">
    <w:name w:val="heading 7"/>
    <w:basedOn w:val="Normal"/>
    <w:next w:val="Normal"/>
    <w:pPr>
      <w:numPr>
        <w:ilvl w:val="6"/>
        <w:numId w:val="6"/>
      </w:numPr>
      <w:tabs>
        <w:tab w:val="num" w:pos="0"/>
      </w:tabs>
      <w:spacing w:before="240" w:after="60"/>
      <w:outlineLvl w:val="6"/>
    </w:pPr>
    <w:rPr>
      <w:rFonts w:ascii="Arial" w:hAnsi="Arial"/>
      <w:sz w:val="20"/>
    </w:rPr>
  </w:style>
  <w:style w:type="paragraph" w:styleId="Heading8">
    <w:name w:val="heading 8"/>
    <w:basedOn w:val="Normal"/>
    <w:next w:val="Normal"/>
    <w:pPr>
      <w:numPr>
        <w:ilvl w:val="7"/>
        <w:numId w:val="6"/>
      </w:numPr>
      <w:tabs>
        <w:tab w:val="num" w:pos="0"/>
      </w:tabs>
      <w:spacing w:before="240" w:after="60"/>
      <w:outlineLvl w:val="7"/>
    </w:pPr>
    <w:rPr>
      <w:rFonts w:ascii="Arial" w:hAnsi="Arial"/>
      <w:i/>
      <w:sz w:val="20"/>
    </w:rPr>
  </w:style>
  <w:style w:type="paragraph" w:styleId="Heading9">
    <w:name w:val="heading 9"/>
    <w:basedOn w:val="Normal"/>
    <w:next w:val="Normal"/>
    <w:pPr>
      <w:numPr>
        <w:ilvl w:val="8"/>
        <w:numId w:val="6"/>
      </w:num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4">
    <w:name w:val="Text 4"/>
    <w:basedOn w:val="Normal"/>
    <w:pPr>
      <w:tabs>
        <w:tab w:val="left" w:pos="2302"/>
      </w:tabs>
      <w:spacing w:after="240"/>
      <w:ind w:left="1202"/>
    </w:pPr>
  </w:style>
  <w:style w:type="character" w:customStyle="1" w:styleId="Heading4Char">
    <w:name w:val="Heading 4 Char"/>
    <w:link w:val="Heading4"/>
    <w:rsid w:val="008109C1"/>
    <w:rPr>
      <w:snapToGrid w:val="0"/>
      <w:sz w:val="24"/>
      <w:lang w:eastAsia="en-US"/>
    </w:rPr>
  </w:style>
  <w:style w:type="paragraph" w:customStyle="1" w:styleId="Application1">
    <w:name w:val="Application1"/>
    <w:basedOn w:val="Heading1"/>
    <w:next w:val="Application2"/>
    <w:pPr>
      <w:pageBreakBefore/>
      <w:widowControl w:val="0"/>
      <w:numPr>
        <w:numId w:val="3"/>
      </w:numPr>
      <w:spacing w:before="0" w:after="480"/>
    </w:pPr>
    <w:rPr>
      <w:caps/>
    </w:rPr>
  </w:style>
  <w:style w:type="paragraph" w:customStyle="1" w:styleId="Application2">
    <w:name w:val="Application2"/>
    <w:basedOn w:val="Normal"/>
    <w:pPr>
      <w:widowControl w:val="0"/>
      <w:numPr>
        <w:numId w:val="5"/>
      </w:numPr>
      <w:tabs>
        <w:tab w:val="left" w:pos="567"/>
      </w:tabs>
      <w:suppressAutoHyphens/>
      <w:spacing w:after="120"/>
    </w:pPr>
    <w:rPr>
      <w:rFonts w:ascii="Arial" w:hAnsi="Arial"/>
      <w:b/>
      <w:spacing w:val="-2"/>
    </w:rPr>
  </w:style>
  <w:style w:type="paragraph" w:customStyle="1" w:styleId="Application3">
    <w:name w:val="Application3"/>
    <w:basedOn w:val="Normal"/>
    <w:pPr>
      <w:widowControl w:val="0"/>
      <w:numPr>
        <w:numId w:val="4"/>
      </w:numPr>
      <w:tabs>
        <w:tab w:val="clear" w:pos="0"/>
        <w:tab w:val="num" w:pos="360"/>
        <w:tab w:val="right" w:pos="8789"/>
      </w:tabs>
      <w:suppressAutoHyphens/>
      <w:ind w:left="0" w:firstLine="0"/>
    </w:pPr>
    <w:rPr>
      <w:rFonts w:ascii="Arial" w:hAnsi="Arial"/>
      <w:b/>
      <w:spacing w:val="-2"/>
    </w:rPr>
  </w:style>
  <w:style w:type="paragraph" w:customStyle="1" w:styleId="Application4">
    <w:name w:val="Application4"/>
    <w:basedOn w:val="Application3"/>
    <w:autoRedefine/>
    <w:pPr>
      <w:numPr>
        <w:numId w:val="0"/>
      </w:numPr>
      <w:ind w:left="567"/>
    </w:pPr>
    <w:rPr>
      <w:sz w:val="20"/>
    </w:rPr>
  </w:style>
  <w:style w:type="paragraph" w:customStyle="1" w:styleId="Application5">
    <w:name w:val="Application5"/>
    <w:basedOn w:val="Application2"/>
    <w:autoRedefine/>
    <w:pPr>
      <w:numPr>
        <w:numId w:val="0"/>
      </w:numPr>
      <w:tabs>
        <w:tab w:val="clear" w:pos="567"/>
        <w:tab w:val="num" w:pos="0"/>
      </w:tabs>
      <w:ind w:left="360" w:hanging="360"/>
    </w:pPr>
    <w:rPr>
      <w:sz w:val="24"/>
    </w:rPr>
  </w:style>
  <w:style w:type="paragraph" w:customStyle="1" w:styleId="NumPar4">
    <w:name w:val="NumPar 4"/>
    <w:basedOn w:val="Heading4"/>
    <w:next w:val="Text4"/>
    <w:pPr>
      <w:keepNext w:val="0"/>
    </w:pPr>
  </w:style>
  <w:style w:type="paragraph" w:styleId="Title">
    <w:name w:val="Title"/>
    <w:basedOn w:val="Normal"/>
    <w:next w:val="SubTitle1"/>
    <w:pPr>
      <w:spacing w:after="480"/>
      <w:jc w:val="center"/>
    </w:pPr>
    <w:rPr>
      <w:b/>
      <w:sz w:val="48"/>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PartTitle">
    <w:name w:val="PartTitle"/>
    <w:basedOn w:val="Normal"/>
    <w:next w:val="Normal"/>
    <w:pPr>
      <w:keepNext/>
      <w:pageBreakBefore/>
      <w:spacing w:after="480"/>
      <w:jc w:val="center"/>
    </w:pPr>
    <w:rPr>
      <w:b/>
      <w:sz w:val="36"/>
    </w:rPr>
  </w:style>
  <w:style w:type="paragraph" w:customStyle="1" w:styleId="SectionTitle">
    <w:name w:val="SectionTitle"/>
    <w:basedOn w:val="Normal"/>
    <w:next w:val="Heading1"/>
    <w:pPr>
      <w:keepNext/>
      <w:spacing w:after="480"/>
      <w:jc w:val="center"/>
    </w:pPr>
    <w:rPr>
      <w:b/>
      <w:smallCaps/>
      <w:sz w:val="28"/>
    </w:rPr>
  </w:style>
  <w:style w:type="paragraph" w:styleId="TOC1">
    <w:name w:val="toc 1"/>
    <w:basedOn w:val="Normal"/>
    <w:next w:val="Normal"/>
    <w:autoRedefine/>
    <w:uiPriority w:val="39"/>
    <w:rsid w:val="00EF1DCD"/>
    <w:pPr>
      <w:tabs>
        <w:tab w:val="left" w:pos="284"/>
        <w:tab w:val="right" w:pos="9628"/>
      </w:tabs>
      <w:spacing w:after="240"/>
      <w:ind w:left="284" w:hanging="284"/>
    </w:pPr>
    <w:rPr>
      <w:rFonts w:ascii="Times New Roman Bold" w:hAnsi="Times New Roman Bold"/>
      <w:b/>
      <w:caps/>
    </w:rPr>
  </w:style>
  <w:style w:type="paragraph" w:styleId="TOC2">
    <w:name w:val="toc 2"/>
    <w:basedOn w:val="Normal"/>
    <w:next w:val="Normal"/>
    <w:autoRedefine/>
    <w:uiPriority w:val="39"/>
    <w:rsid w:val="002E77A6"/>
    <w:pPr>
      <w:tabs>
        <w:tab w:val="left" w:pos="709"/>
        <w:tab w:val="right" w:leader="dot" w:pos="9628"/>
      </w:tabs>
      <w:spacing w:after="80"/>
      <w:ind w:left="709" w:hanging="425"/>
    </w:pPr>
  </w:style>
  <w:style w:type="paragraph" w:styleId="TOC3">
    <w:name w:val="toc 3"/>
    <w:basedOn w:val="Normal"/>
    <w:next w:val="Normal"/>
    <w:autoRedefine/>
    <w:uiPriority w:val="39"/>
    <w:rsid w:val="00EF1DCD"/>
    <w:pPr>
      <w:tabs>
        <w:tab w:val="left" w:pos="1134"/>
        <w:tab w:val="right" w:leader="dot" w:pos="9628"/>
      </w:tabs>
      <w:spacing w:after="40"/>
      <w:ind w:left="1701" w:hanging="1134"/>
    </w:pPr>
    <w:rPr>
      <w:noProof/>
      <w:sz w:val="20"/>
    </w:rPr>
  </w:style>
  <w:style w:type="paragraph" w:styleId="TOC4">
    <w:name w:val="toc 4"/>
    <w:basedOn w:val="Normal"/>
    <w:next w:val="Normal"/>
    <w:autoRedefine/>
    <w:semiHidden/>
    <w:pPr>
      <w:ind w:left="480"/>
    </w:pPr>
    <w:rPr>
      <w:sz w:val="20"/>
    </w:rPr>
  </w:style>
  <w:style w:type="paragraph" w:customStyle="1" w:styleId="AnnexTOC">
    <w:name w:val="AnnexTOC"/>
    <w:basedOn w:val="TOC1"/>
  </w:style>
  <w:style w:type="paragraph" w:customStyle="1" w:styleId="Guidelines1">
    <w:name w:val="Guidelines 1"/>
    <w:basedOn w:val="Normal"/>
    <w:autoRedefine/>
    <w:qFormat/>
    <w:rsid w:val="00A47D20"/>
    <w:pPr>
      <w:widowControl w:val="0"/>
      <w:numPr>
        <w:numId w:val="75"/>
      </w:numPr>
      <w:spacing w:before="120" w:after="240"/>
      <w:outlineLvl w:val="0"/>
    </w:pPr>
    <w:rPr>
      <w:rFonts w:ascii="Times New Roman Bold" w:hAnsi="Times New Roman Bold"/>
      <w:b/>
      <w:caps/>
    </w:rPr>
  </w:style>
  <w:style w:type="paragraph" w:customStyle="1" w:styleId="Guidelines2">
    <w:name w:val="Guidelines 2"/>
    <w:basedOn w:val="Normal"/>
    <w:next w:val="Normal"/>
    <w:autoRedefine/>
    <w:qFormat/>
    <w:rsid w:val="00B95230"/>
    <w:pPr>
      <w:numPr>
        <w:ilvl w:val="1"/>
        <w:numId w:val="75"/>
      </w:numPr>
      <w:spacing w:before="120" w:after="120"/>
      <w:outlineLvl w:val="1"/>
    </w:pPr>
    <w:rPr>
      <w:b/>
      <w:smallCaps/>
      <w:szCs w:val="22"/>
    </w:rPr>
  </w:style>
  <w:style w:type="paragraph" w:customStyle="1" w:styleId="Text1">
    <w:name w:val="Text 1"/>
    <w:basedOn w:val="Normal"/>
    <w:pPr>
      <w:spacing w:after="240"/>
      <w:ind w:left="482"/>
    </w:pPr>
  </w:style>
  <w:style w:type="paragraph" w:customStyle="1" w:styleId="Guidelines3">
    <w:name w:val="Guidelines 3"/>
    <w:basedOn w:val="Normal"/>
    <w:next w:val="Normal"/>
    <w:autoRedefine/>
    <w:qFormat/>
    <w:rsid w:val="0038139A"/>
    <w:pPr>
      <w:keepNext/>
      <w:pBdr>
        <w:top w:val="single" w:sz="4" w:space="1" w:color="auto"/>
        <w:left w:val="single" w:sz="4" w:space="4" w:color="auto"/>
        <w:bottom w:val="single" w:sz="4" w:space="1" w:color="auto"/>
        <w:right w:val="single" w:sz="4" w:space="4" w:color="auto"/>
      </w:pBdr>
      <w:tabs>
        <w:tab w:val="left" w:pos="900"/>
      </w:tabs>
      <w:spacing w:before="120" w:after="0"/>
      <w:jc w:val="left"/>
    </w:pPr>
    <w:rPr>
      <w:b/>
      <w:i/>
      <w:sz w:val="24"/>
    </w:rPr>
  </w:style>
  <w:style w:type="paragraph" w:customStyle="1" w:styleId="Text2">
    <w:name w:val="Text 2"/>
    <w:basedOn w:val="Normal"/>
    <w:pPr>
      <w:tabs>
        <w:tab w:val="left" w:pos="2161"/>
      </w:tabs>
      <w:spacing w:after="240"/>
      <w:ind w:left="1202"/>
    </w:pPr>
  </w:style>
  <w:style w:type="paragraph" w:customStyle="1" w:styleId="p3">
    <w:name w:val="p3"/>
    <w:basedOn w:val="Normal"/>
    <w:pPr>
      <w:widowControl w:val="0"/>
      <w:tabs>
        <w:tab w:val="left" w:pos="1420"/>
      </w:tabs>
      <w:spacing w:line="260" w:lineRule="atLeast"/>
      <w:ind w:left="360"/>
    </w:pPr>
  </w:style>
  <w:style w:type="paragraph" w:customStyle="1" w:styleId="Guidelines4">
    <w:name w:val="Guidelines 4"/>
    <w:basedOn w:val="Normal"/>
    <w:next w:val="Normal"/>
    <w:autoRedefine/>
    <w:rsid w:val="00820FEE"/>
    <w:pPr>
      <w:spacing w:before="240" w:after="240"/>
      <w:jc w:val="center"/>
    </w:pPr>
    <w:rPr>
      <w:b/>
      <w:sz w:val="24"/>
    </w:rPr>
  </w:style>
  <w:style w:type="character" w:styleId="Hyperlink">
    <w:name w:val="Hyperlink"/>
    <w:uiPriority w:val="99"/>
    <w:rPr>
      <w:color w:val="0000FF"/>
      <w:u w:val="single"/>
    </w:rPr>
  </w:style>
  <w:style w:type="paragraph" w:customStyle="1" w:styleId="References">
    <w:name w:val="References"/>
    <w:basedOn w:val="Normal"/>
    <w:next w:val="Normal"/>
    <w:pPr>
      <w:spacing w:after="240"/>
      <w:ind w:left="5103"/>
    </w:pPr>
    <w:rPr>
      <w:sz w:val="20"/>
    </w:rPr>
  </w:style>
  <w:style w:type="paragraph" w:styleId="FootnoteText">
    <w:name w:val="footnote text"/>
    <w:aliases w:val="Footnote Text Char1,Footnote Text Char Char Char Char,Footnote Text Char Char Char,Footnote Text Char Char,single space,footnote text,Fußnote,Footnote,Footnote Text Char1 Char Char Char,Footnote Text Char1 Char1 Char,Fußnotentextf"/>
    <w:basedOn w:val="Normal"/>
    <w:link w:val="FootnoteTextChar"/>
    <w:autoRedefine/>
    <w:uiPriority w:val="99"/>
    <w:qFormat/>
    <w:rsid w:val="000D35EC"/>
    <w:pPr>
      <w:spacing w:after="60"/>
    </w:pPr>
    <w:rPr>
      <w:sz w:val="20"/>
    </w:rPr>
  </w:style>
  <w:style w:type="character" w:customStyle="1" w:styleId="FootnoteTextChar">
    <w:name w:val="Footnote Text Char"/>
    <w:aliases w:val="Footnote Text Char1 Char,Footnote Text Char Char Char Char Char,Footnote Text Char Char Char Char1,Footnote Text Char Char Char1,single space Char,footnote text Char,Fußnote Char,Footnote Char,Footnote Text Char1 Char Char Char Char"/>
    <w:link w:val="FootnoteText"/>
    <w:uiPriority w:val="99"/>
    <w:rsid w:val="000D35EC"/>
    <w:rPr>
      <w:snapToGrid w:val="0"/>
      <w:lang w:val="en-GB"/>
    </w:rPr>
  </w:style>
  <w:style w:type="paragraph" w:styleId="Header">
    <w:name w:val="header"/>
    <w:basedOn w:val="Normal"/>
    <w:pPr>
      <w:tabs>
        <w:tab w:val="center" w:pos="4153"/>
        <w:tab w:val="right" w:pos="8306"/>
      </w:tabs>
      <w:spacing w:after="240"/>
    </w:pPr>
  </w:style>
  <w:style w:type="character" w:styleId="PageNumber">
    <w:name w:val="page number"/>
    <w:basedOn w:val="DefaultParagraphFont"/>
  </w:style>
  <w:style w:type="paragraph" w:styleId="Footer">
    <w:name w:val="footer"/>
    <w:basedOn w:val="Normal"/>
    <w:pPr>
      <w:ind w:right="-567"/>
    </w:pPr>
    <w:rPr>
      <w:rFonts w:ascii="Arial" w:hAnsi="Arial"/>
      <w:sz w:val="16"/>
    </w:rPr>
  </w:style>
  <w:style w:type="paragraph" w:customStyle="1" w:styleId="Style0">
    <w:name w:val="Style0"/>
    <w:rPr>
      <w:rFonts w:ascii="Arial" w:hAnsi="Arial"/>
      <w:snapToGrid w:val="0"/>
      <w:sz w:val="24"/>
    </w:rPr>
  </w:style>
  <w:style w:type="paragraph" w:customStyle="1" w:styleId="Text3">
    <w:name w:val="Text 3"/>
    <w:basedOn w:val="Normal"/>
    <w:pPr>
      <w:tabs>
        <w:tab w:val="left" w:pos="2302"/>
      </w:tabs>
      <w:spacing w:after="240"/>
      <w:ind w:left="1202"/>
    </w:pPr>
  </w:style>
  <w:style w:type="paragraph" w:styleId="BodyTextIndent">
    <w:name w:val="Body Text Indent"/>
    <w:basedOn w:val="Normal"/>
    <w:link w:val="BodyTextIndentChar"/>
  </w:style>
  <w:style w:type="character" w:customStyle="1" w:styleId="BodyTextIndentChar">
    <w:name w:val="Body Text Indent Char"/>
    <w:link w:val="BodyTextIndent"/>
    <w:rsid w:val="0090351E"/>
    <w:rPr>
      <w:snapToGrid w:val="0"/>
      <w:sz w:val="24"/>
      <w:lang w:eastAsia="en-US"/>
    </w:rPr>
  </w:style>
  <w:style w:type="paragraph" w:styleId="TOC5">
    <w:name w:val="toc 5"/>
    <w:basedOn w:val="Normal"/>
    <w:next w:val="Normal"/>
    <w:autoRedefine/>
    <w:semiHidden/>
    <w:pPr>
      <w:ind w:left="720"/>
    </w:pPr>
    <w:rPr>
      <w:sz w:val="20"/>
    </w:rPr>
  </w:style>
  <w:style w:type="paragraph" w:styleId="TOC6">
    <w:name w:val="toc 6"/>
    <w:basedOn w:val="Normal"/>
    <w:next w:val="Normal"/>
    <w:autoRedefine/>
    <w:semiHidden/>
    <w:pPr>
      <w:ind w:left="960"/>
    </w:pPr>
    <w:rPr>
      <w:sz w:val="20"/>
    </w:rPr>
  </w:style>
  <w:style w:type="paragraph" w:styleId="TOC7">
    <w:name w:val="toc 7"/>
    <w:basedOn w:val="Normal"/>
    <w:next w:val="Normal"/>
    <w:autoRedefine/>
    <w:semiHidden/>
    <w:pPr>
      <w:ind w:left="1200"/>
    </w:pPr>
    <w:rPr>
      <w:sz w:val="20"/>
    </w:rPr>
  </w:style>
  <w:style w:type="paragraph" w:styleId="TOC8">
    <w:name w:val="toc 8"/>
    <w:basedOn w:val="Normal"/>
    <w:next w:val="Normal"/>
    <w:autoRedefine/>
    <w:semiHidden/>
    <w:pPr>
      <w:ind w:left="1440"/>
    </w:pPr>
    <w:rPr>
      <w:sz w:val="20"/>
    </w:rPr>
  </w:style>
  <w:style w:type="paragraph" w:styleId="TOC9">
    <w:name w:val="toc 9"/>
    <w:basedOn w:val="Normal"/>
    <w:next w:val="Normal"/>
    <w:autoRedefine/>
    <w:semiHidden/>
    <w:pPr>
      <w:ind w:left="1680"/>
    </w:pPr>
    <w:rPr>
      <w:sz w:val="20"/>
    </w:rPr>
  </w:style>
  <w:style w:type="character" w:styleId="FollowedHyperlink">
    <w:name w:val="FollowedHyperlink"/>
    <w:rPr>
      <w:color w:val="800080"/>
      <w:u w:val="single"/>
    </w:rPr>
  </w:style>
  <w:style w:type="paragraph" w:customStyle="1" w:styleId="NumPar2">
    <w:name w:val="NumPar 2"/>
    <w:basedOn w:val="Heading2"/>
    <w:next w:val="Text2"/>
    <w:pPr>
      <w:keepNext w:val="0"/>
      <w:keepLines w:val="0"/>
      <w:numPr>
        <w:numId w:val="1"/>
      </w:numPr>
      <w:tabs>
        <w:tab w:val="num" w:pos="360"/>
      </w:tabs>
      <w:spacing w:after="240"/>
      <w:ind w:left="360"/>
      <w:outlineLvl w:val="9"/>
    </w:pPr>
    <w:rPr>
      <w:b w:val="0"/>
      <w:lang w:val="fr-FR"/>
    </w:rPr>
  </w:style>
  <w:style w:type="paragraph" w:styleId="ListBullet5">
    <w:name w:val="List Bullet 5"/>
    <w:basedOn w:val="Normal"/>
    <w:autoRedefine/>
    <w:pPr>
      <w:numPr>
        <w:numId w:val="2"/>
      </w:numPr>
      <w:spacing w:after="240"/>
    </w:pPr>
    <w:rPr>
      <w:lang w:val="fr-FR"/>
    </w:rPr>
  </w:style>
  <w:style w:type="paragraph" w:styleId="ListBullet">
    <w:name w:val="List Bullet"/>
    <w:basedOn w:val="Normal"/>
    <w:link w:val="ListBulletChar"/>
    <w:rsid w:val="00684AFF"/>
    <w:pPr>
      <w:numPr>
        <w:numId w:val="8"/>
      </w:numPr>
      <w:spacing w:after="240"/>
    </w:pPr>
    <w:rPr>
      <w:snapToGrid/>
      <w:lang w:eastAsia="en-GB"/>
    </w:rPr>
  </w:style>
  <w:style w:type="character" w:customStyle="1" w:styleId="ListBulletChar">
    <w:name w:val="List Bullet Char"/>
    <w:link w:val="ListBullet"/>
    <w:rsid w:val="00CF6359"/>
    <w:rPr>
      <w:sz w:val="22"/>
      <w:lang w:val="en-GB" w:eastAsia="en-GB"/>
    </w:rPr>
  </w:style>
  <w:style w:type="paragraph" w:customStyle="1" w:styleId="TOC30">
    <w:name w:val="TOC3"/>
    <w:basedOn w:val="Normal"/>
    <w:rsid w:val="00D67AFE"/>
  </w:style>
  <w:style w:type="paragraph" w:customStyle="1" w:styleId="ListDash2">
    <w:name w:val="List Dash 2"/>
    <w:basedOn w:val="Text2"/>
    <w:rsid w:val="00A636FE"/>
    <w:pPr>
      <w:numPr>
        <w:numId w:val="9"/>
      </w:numPr>
      <w:tabs>
        <w:tab w:val="clear" w:pos="2161"/>
      </w:tabs>
    </w:pPr>
    <w:rPr>
      <w:snapToGrid/>
    </w:rPr>
  </w:style>
  <w:style w:type="table" w:styleId="TableGrid">
    <w:name w:val="Table Grid"/>
    <w:basedOn w:val="TableNormal"/>
    <w:rsid w:val="008619B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rsid w:val="006A7719"/>
    <w:pPr>
      <w:spacing w:before="120" w:after="120"/>
      <w:jc w:val="center"/>
    </w:pPr>
    <w:rPr>
      <w:rFonts w:ascii="Arial" w:hAnsi="Arial"/>
      <w:b/>
      <w:sz w:val="28"/>
      <w:lang w:val="fr-BE"/>
    </w:rPr>
  </w:style>
  <w:style w:type="paragraph" w:customStyle="1" w:styleId="StyleListBullet11pt">
    <w:name w:val="Style List Bullet + 11 pt"/>
    <w:basedOn w:val="ListBullet"/>
    <w:link w:val="StyleListBullet11ptChar"/>
    <w:autoRedefine/>
    <w:rsid w:val="00CF6359"/>
    <w:pPr>
      <w:spacing w:after="120"/>
    </w:pPr>
  </w:style>
  <w:style w:type="character" w:customStyle="1" w:styleId="StyleListBullet11ptChar">
    <w:name w:val="Style List Bullet + 11 pt Char"/>
    <w:link w:val="StyleListBullet11pt"/>
    <w:rsid w:val="00CF6359"/>
    <w:rPr>
      <w:sz w:val="22"/>
      <w:lang w:val="en-GB" w:eastAsia="en-GB"/>
    </w:rPr>
  </w:style>
  <w:style w:type="paragraph" w:styleId="CommentSubject">
    <w:name w:val="annotation subject"/>
    <w:basedOn w:val="Normal"/>
    <w:semiHidden/>
    <w:rsid w:val="0090351E"/>
    <w:rPr>
      <w:b/>
      <w:bCs/>
      <w:sz w:val="20"/>
    </w:rPr>
  </w:style>
  <w:style w:type="character" w:customStyle="1" w:styleId="Style11pt">
    <w:name w:val="Style 11 pt"/>
    <w:rsid w:val="00B41A93"/>
    <w:rPr>
      <w:sz w:val="22"/>
    </w:rPr>
  </w:style>
  <w:style w:type="paragraph" w:customStyle="1" w:styleId="ListDash">
    <w:name w:val="List Dash"/>
    <w:basedOn w:val="Normal"/>
    <w:rsid w:val="00B17D2F"/>
    <w:pPr>
      <w:numPr>
        <w:numId w:val="10"/>
      </w:numPr>
      <w:spacing w:after="240"/>
    </w:pPr>
    <w:rPr>
      <w:snapToGrid/>
      <w:lang w:val="fr-FR"/>
    </w:rPr>
  </w:style>
  <w:style w:type="paragraph" w:customStyle="1" w:styleId="Style11ptJustifiedAfter6pt">
    <w:name w:val="Style 11 pt Justified After:  6 pt"/>
    <w:basedOn w:val="Normal"/>
    <w:rsid w:val="0022128C"/>
    <w:pPr>
      <w:spacing w:after="120"/>
    </w:pPr>
    <w:rPr>
      <w:snapToGrid/>
      <w:szCs w:val="22"/>
      <w:lang w:eastAsia="en-GB"/>
    </w:rPr>
  </w:style>
  <w:style w:type="paragraph" w:styleId="ListNumber2">
    <w:name w:val="List Number 2"/>
    <w:basedOn w:val="Text2"/>
    <w:rsid w:val="0022128C"/>
    <w:pPr>
      <w:numPr>
        <w:numId w:val="11"/>
      </w:numPr>
      <w:tabs>
        <w:tab w:val="clear" w:pos="2161"/>
      </w:tabs>
    </w:pPr>
    <w:rPr>
      <w:snapToGrid/>
    </w:rPr>
  </w:style>
  <w:style w:type="paragraph" w:customStyle="1" w:styleId="ListNumber2Level2">
    <w:name w:val="List Number 2 (Level 2)"/>
    <w:basedOn w:val="Text2"/>
    <w:rsid w:val="0022128C"/>
    <w:pPr>
      <w:numPr>
        <w:ilvl w:val="1"/>
        <w:numId w:val="11"/>
      </w:numPr>
      <w:tabs>
        <w:tab w:val="clear" w:pos="2161"/>
      </w:tabs>
    </w:pPr>
    <w:rPr>
      <w:snapToGrid/>
    </w:rPr>
  </w:style>
  <w:style w:type="paragraph" w:customStyle="1" w:styleId="ListNumber2Level3">
    <w:name w:val="List Number 2 (Level 3)"/>
    <w:basedOn w:val="Text2"/>
    <w:rsid w:val="0022128C"/>
    <w:pPr>
      <w:numPr>
        <w:ilvl w:val="2"/>
        <w:numId w:val="11"/>
      </w:numPr>
      <w:tabs>
        <w:tab w:val="clear" w:pos="2161"/>
      </w:tabs>
    </w:pPr>
    <w:rPr>
      <w:snapToGrid/>
    </w:rPr>
  </w:style>
  <w:style w:type="paragraph" w:customStyle="1" w:styleId="ListNumber2Level4">
    <w:name w:val="List Number 2 (Level 4)"/>
    <w:basedOn w:val="Text2"/>
    <w:rsid w:val="0022128C"/>
    <w:pPr>
      <w:numPr>
        <w:ilvl w:val="3"/>
        <w:numId w:val="11"/>
      </w:numPr>
      <w:tabs>
        <w:tab w:val="clear" w:pos="2161"/>
      </w:tabs>
    </w:pPr>
    <w:rPr>
      <w:snapToGrid/>
    </w:rPr>
  </w:style>
  <w:style w:type="character" w:styleId="Strong">
    <w:name w:val="Strong"/>
    <w:rsid w:val="005D1CFA"/>
    <w:rPr>
      <w:b/>
      <w:bCs/>
    </w:rPr>
  </w:style>
  <w:style w:type="paragraph" w:styleId="Revision">
    <w:name w:val="Revision"/>
    <w:hidden/>
    <w:uiPriority w:val="99"/>
    <w:semiHidden/>
    <w:rsid w:val="008B4F07"/>
    <w:rPr>
      <w:snapToGrid w:val="0"/>
      <w:sz w:val="24"/>
      <w:lang w:val="en-GB"/>
    </w:rPr>
  </w:style>
  <w:style w:type="paragraph" w:styleId="ListParagraph">
    <w:name w:val="List Paragraph"/>
    <w:basedOn w:val="Normal"/>
    <w:uiPriority w:val="34"/>
    <w:qFormat/>
    <w:rsid w:val="00495849"/>
    <w:pPr>
      <w:ind w:left="708"/>
    </w:pPr>
  </w:style>
  <w:style w:type="paragraph" w:styleId="TOAHeading">
    <w:name w:val="toa heading"/>
    <w:basedOn w:val="Normal"/>
    <w:next w:val="Normal"/>
    <w:rsid w:val="0021362B"/>
    <w:pPr>
      <w:spacing w:before="120"/>
    </w:pPr>
    <w:rPr>
      <w:rFonts w:ascii="Cambria" w:hAnsi="Cambria"/>
      <w:b/>
      <w:bCs/>
      <w:szCs w:val="24"/>
    </w:rPr>
  </w:style>
  <w:style w:type="character" w:styleId="FootnoteReference">
    <w:name w:val="footnote reference"/>
    <w:aliases w:val=" BVI fnr Char Char, BVI fnr, BVI fnr Car Car,BVI fnr Car Car,BVI fnr Char Char, BVI fnr Char,BVI fnr Char, BVI fnr Car Car Char,BVI fnr Car Char, BVI fnr Car Car Car Car Char, BVI fnr Car Car Car Car Char Char,BVI fnr Car Car Char,BVI"/>
    <w:link w:val="Char2"/>
    <w:uiPriority w:val="99"/>
    <w:qFormat/>
    <w:rsid w:val="004D357E"/>
    <w:rPr>
      <w:sz w:val="24"/>
      <w:vertAlign w:val="superscript"/>
    </w:rPr>
  </w:style>
  <w:style w:type="paragraph" w:styleId="BalloonText">
    <w:name w:val="Balloon Text"/>
    <w:basedOn w:val="Normal"/>
    <w:link w:val="BalloonTextChar"/>
    <w:rsid w:val="00AF32BC"/>
    <w:pPr>
      <w:spacing w:after="0"/>
    </w:pPr>
    <w:rPr>
      <w:rFonts w:ascii="Tahoma" w:hAnsi="Tahoma" w:cs="Tahoma"/>
      <w:sz w:val="16"/>
      <w:szCs w:val="16"/>
    </w:rPr>
  </w:style>
  <w:style w:type="character" w:customStyle="1" w:styleId="BalloonTextChar">
    <w:name w:val="Balloon Text Char"/>
    <w:link w:val="BalloonText"/>
    <w:rsid w:val="00AF32BC"/>
    <w:rPr>
      <w:rFonts w:ascii="Tahoma" w:hAnsi="Tahoma" w:cs="Tahoma"/>
      <w:snapToGrid w:val="0"/>
      <w:sz w:val="16"/>
      <w:szCs w:val="16"/>
      <w:lang w:eastAsia="en-US"/>
    </w:rPr>
  </w:style>
  <w:style w:type="character" w:styleId="CommentReference">
    <w:name w:val="annotation reference"/>
    <w:uiPriority w:val="99"/>
    <w:rsid w:val="00A6227D"/>
    <w:rPr>
      <w:sz w:val="16"/>
      <w:szCs w:val="16"/>
    </w:rPr>
  </w:style>
  <w:style w:type="paragraph" w:styleId="CommentText">
    <w:name w:val="annotation text"/>
    <w:basedOn w:val="Normal"/>
    <w:link w:val="CommentTextChar"/>
    <w:uiPriority w:val="99"/>
    <w:rsid w:val="00A6227D"/>
    <w:rPr>
      <w:sz w:val="20"/>
    </w:rPr>
  </w:style>
  <w:style w:type="character" w:customStyle="1" w:styleId="CommentTextChar">
    <w:name w:val="Comment Text Char"/>
    <w:link w:val="CommentText"/>
    <w:uiPriority w:val="99"/>
    <w:rsid w:val="00A6227D"/>
    <w:rPr>
      <w:snapToGrid w:val="0"/>
      <w:lang w:eastAsia="en-US"/>
    </w:rPr>
  </w:style>
  <w:style w:type="paragraph" w:customStyle="1" w:styleId="Char2">
    <w:name w:val="Char2"/>
    <w:basedOn w:val="Normal"/>
    <w:link w:val="FootnoteReference"/>
    <w:uiPriority w:val="99"/>
    <w:rsid w:val="00DB57AE"/>
    <w:pPr>
      <w:spacing w:before="120" w:after="160" w:line="240" w:lineRule="exact"/>
      <w:jc w:val="left"/>
    </w:pPr>
    <w:rPr>
      <w:snapToGrid/>
      <w:sz w:val="24"/>
      <w:vertAlign w:val="superscript"/>
      <w:lang w:eastAsia="en-GB"/>
    </w:rPr>
  </w:style>
  <w:style w:type="paragraph" w:styleId="BodyText">
    <w:name w:val="Body Text"/>
    <w:basedOn w:val="Normal"/>
    <w:link w:val="BodyTextChar"/>
    <w:rsid w:val="00A60720"/>
    <w:pPr>
      <w:spacing w:after="120"/>
    </w:pPr>
  </w:style>
  <w:style w:type="character" w:customStyle="1" w:styleId="BodyTextChar">
    <w:name w:val="Body Text Char"/>
    <w:link w:val="BodyText"/>
    <w:rsid w:val="00A60720"/>
    <w:rPr>
      <w:snapToGrid w:val="0"/>
      <w:sz w:val="22"/>
      <w:lang w:eastAsia="en-US"/>
    </w:rPr>
  </w:style>
  <w:style w:type="character" w:customStyle="1" w:styleId="UnresolvedMention1">
    <w:name w:val="Unresolved Mention1"/>
    <w:basedOn w:val="DefaultParagraphFont"/>
    <w:uiPriority w:val="99"/>
    <w:semiHidden/>
    <w:unhideWhenUsed/>
    <w:rsid w:val="005728ED"/>
    <w:rPr>
      <w:color w:val="605E5C"/>
      <w:shd w:val="clear" w:color="auto" w:fill="E1DFDD"/>
    </w:rPr>
  </w:style>
  <w:style w:type="paragraph" w:styleId="NormalWeb">
    <w:name w:val="Normal (Web)"/>
    <w:basedOn w:val="Normal"/>
    <w:uiPriority w:val="99"/>
    <w:unhideWhenUsed/>
    <w:rsid w:val="00B55DC1"/>
    <w:pPr>
      <w:spacing w:before="100" w:beforeAutospacing="1" w:after="100" w:afterAutospacing="1"/>
      <w:jc w:val="left"/>
    </w:pPr>
    <w:rPr>
      <w:snapToGrid/>
      <w:sz w:val="24"/>
      <w:szCs w:val="24"/>
      <w:lang w:val="tr-TR" w:eastAsia="tr-TR"/>
    </w:rPr>
  </w:style>
  <w:style w:type="character" w:customStyle="1" w:styleId="cf01">
    <w:name w:val="cf01"/>
    <w:basedOn w:val="DefaultParagraphFont"/>
    <w:rsid w:val="00B34E7E"/>
    <w:rPr>
      <w:rFonts w:ascii="Segoe UI" w:hAnsi="Segoe UI" w:cs="Segoe UI" w:hint="default"/>
      <w:sz w:val="18"/>
      <w:szCs w:val="18"/>
    </w:rPr>
  </w:style>
  <w:style w:type="paragraph" w:styleId="HTMLPreformatted">
    <w:name w:val="HTML Preformatted"/>
    <w:basedOn w:val="Normal"/>
    <w:link w:val="HTMLPreformattedChar"/>
    <w:uiPriority w:val="99"/>
    <w:unhideWhenUsed/>
    <w:rsid w:val="0059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napToGrid/>
      <w:sz w:val="20"/>
      <w:lang w:val="tr-TR" w:eastAsia="tr-TR"/>
    </w:rPr>
  </w:style>
  <w:style w:type="character" w:customStyle="1" w:styleId="HTMLPreformattedChar">
    <w:name w:val="HTML Preformatted Char"/>
    <w:basedOn w:val="DefaultParagraphFont"/>
    <w:link w:val="HTMLPreformatted"/>
    <w:uiPriority w:val="99"/>
    <w:rsid w:val="00590D43"/>
    <w:rPr>
      <w:rFonts w:ascii="Courier New" w:hAnsi="Courier New" w:cs="Courier New"/>
      <w:lang w:val="tr-TR" w:eastAsia="tr-TR"/>
    </w:rPr>
  </w:style>
  <w:style w:type="character" w:customStyle="1" w:styleId="UnresolvedMention2">
    <w:name w:val="Unresolved Mention2"/>
    <w:basedOn w:val="DefaultParagraphFont"/>
    <w:uiPriority w:val="99"/>
    <w:semiHidden/>
    <w:unhideWhenUsed/>
    <w:rsid w:val="00C37935"/>
    <w:rPr>
      <w:color w:val="605E5C"/>
      <w:shd w:val="clear" w:color="auto" w:fill="E1DFDD"/>
    </w:rPr>
  </w:style>
  <w:style w:type="character" w:customStyle="1" w:styleId="UnresolvedMention3">
    <w:name w:val="Unresolved Mention3"/>
    <w:basedOn w:val="DefaultParagraphFont"/>
    <w:uiPriority w:val="99"/>
    <w:semiHidden/>
    <w:unhideWhenUsed/>
    <w:rsid w:val="00707078"/>
    <w:rPr>
      <w:color w:val="605E5C"/>
      <w:shd w:val="clear" w:color="auto" w:fill="E1DFDD"/>
    </w:rPr>
  </w:style>
  <w:style w:type="paragraph" w:styleId="TOCHeading">
    <w:name w:val="TOC Heading"/>
    <w:basedOn w:val="Heading1"/>
    <w:next w:val="Normal"/>
    <w:uiPriority w:val="39"/>
    <w:unhideWhenUsed/>
    <w:qFormat/>
    <w:rsid w:val="0038139A"/>
    <w:pPr>
      <w:keepLines/>
      <w:spacing w:after="0" w:line="259" w:lineRule="auto"/>
      <w:jc w:val="left"/>
      <w:outlineLvl w:val="9"/>
    </w:pPr>
    <w:rPr>
      <w:rFonts w:asciiTheme="majorHAnsi" w:eastAsiaTheme="majorEastAsia" w:hAnsiTheme="majorHAnsi" w:cstheme="majorBidi"/>
      <w:b w:val="0"/>
      <w:snapToGrid/>
      <w:color w:val="2E74B5" w:themeColor="accent1" w:themeShade="BF"/>
      <w:kern w:val="0"/>
      <w:sz w:val="32"/>
      <w:szCs w:val="32"/>
      <w:lang w:val="en-US"/>
    </w:rPr>
  </w:style>
  <w:style w:type="character" w:customStyle="1" w:styleId="y2iqfc">
    <w:name w:val="y2iqfc"/>
    <w:basedOn w:val="DefaultParagraphFont"/>
    <w:rsid w:val="00441769"/>
  </w:style>
  <w:style w:type="paragraph" w:customStyle="1" w:styleId="pf0">
    <w:name w:val="pf0"/>
    <w:basedOn w:val="Normal"/>
    <w:rsid w:val="001B0C51"/>
    <w:pPr>
      <w:spacing w:before="100" w:beforeAutospacing="1" w:after="100" w:afterAutospacing="1"/>
      <w:jc w:val="left"/>
    </w:pPr>
    <w:rPr>
      <w:snapToGrid/>
      <w:sz w:val="24"/>
      <w:szCs w:val="24"/>
    </w:rPr>
  </w:style>
  <w:style w:type="character" w:customStyle="1" w:styleId="Mention1">
    <w:name w:val="Mention1"/>
    <w:basedOn w:val="DefaultParagraphFont"/>
    <w:uiPriority w:val="99"/>
    <w:unhideWhenUsed/>
    <w:rsid w:val="0052153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65497">
      <w:bodyDiv w:val="1"/>
      <w:marLeft w:val="0"/>
      <w:marRight w:val="0"/>
      <w:marTop w:val="0"/>
      <w:marBottom w:val="0"/>
      <w:divBdr>
        <w:top w:val="none" w:sz="0" w:space="0" w:color="auto"/>
        <w:left w:val="none" w:sz="0" w:space="0" w:color="auto"/>
        <w:bottom w:val="none" w:sz="0" w:space="0" w:color="auto"/>
        <w:right w:val="none" w:sz="0" w:space="0" w:color="auto"/>
      </w:divBdr>
    </w:div>
    <w:div w:id="108864946">
      <w:bodyDiv w:val="1"/>
      <w:marLeft w:val="0"/>
      <w:marRight w:val="0"/>
      <w:marTop w:val="0"/>
      <w:marBottom w:val="0"/>
      <w:divBdr>
        <w:top w:val="none" w:sz="0" w:space="0" w:color="auto"/>
        <w:left w:val="none" w:sz="0" w:space="0" w:color="auto"/>
        <w:bottom w:val="none" w:sz="0" w:space="0" w:color="auto"/>
        <w:right w:val="none" w:sz="0" w:space="0" w:color="auto"/>
      </w:divBdr>
    </w:div>
    <w:div w:id="158350776">
      <w:bodyDiv w:val="1"/>
      <w:marLeft w:val="0"/>
      <w:marRight w:val="0"/>
      <w:marTop w:val="0"/>
      <w:marBottom w:val="0"/>
      <w:divBdr>
        <w:top w:val="none" w:sz="0" w:space="0" w:color="auto"/>
        <w:left w:val="none" w:sz="0" w:space="0" w:color="auto"/>
        <w:bottom w:val="none" w:sz="0" w:space="0" w:color="auto"/>
        <w:right w:val="none" w:sz="0" w:space="0" w:color="auto"/>
      </w:divBdr>
    </w:div>
    <w:div w:id="291058009">
      <w:bodyDiv w:val="1"/>
      <w:marLeft w:val="0"/>
      <w:marRight w:val="0"/>
      <w:marTop w:val="0"/>
      <w:marBottom w:val="0"/>
      <w:divBdr>
        <w:top w:val="none" w:sz="0" w:space="0" w:color="auto"/>
        <w:left w:val="none" w:sz="0" w:space="0" w:color="auto"/>
        <w:bottom w:val="none" w:sz="0" w:space="0" w:color="auto"/>
        <w:right w:val="none" w:sz="0" w:space="0" w:color="auto"/>
      </w:divBdr>
    </w:div>
    <w:div w:id="314141129">
      <w:bodyDiv w:val="1"/>
      <w:marLeft w:val="0"/>
      <w:marRight w:val="0"/>
      <w:marTop w:val="0"/>
      <w:marBottom w:val="0"/>
      <w:divBdr>
        <w:top w:val="none" w:sz="0" w:space="0" w:color="auto"/>
        <w:left w:val="none" w:sz="0" w:space="0" w:color="auto"/>
        <w:bottom w:val="none" w:sz="0" w:space="0" w:color="auto"/>
        <w:right w:val="none" w:sz="0" w:space="0" w:color="auto"/>
      </w:divBdr>
    </w:div>
    <w:div w:id="345444708">
      <w:bodyDiv w:val="1"/>
      <w:marLeft w:val="0"/>
      <w:marRight w:val="0"/>
      <w:marTop w:val="0"/>
      <w:marBottom w:val="0"/>
      <w:divBdr>
        <w:top w:val="none" w:sz="0" w:space="0" w:color="auto"/>
        <w:left w:val="none" w:sz="0" w:space="0" w:color="auto"/>
        <w:bottom w:val="none" w:sz="0" w:space="0" w:color="auto"/>
        <w:right w:val="none" w:sz="0" w:space="0" w:color="auto"/>
      </w:divBdr>
    </w:div>
    <w:div w:id="421611526">
      <w:bodyDiv w:val="1"/>
      <w:marLeft w:val="0"/>
      <w:marRight w:val="0"/>
      <w:marTop w:val="0"/>
      <w:marBottom w:val="0"/>
      <w:divBdr>
        <w:top w:val="none" w:sz="0" w:space="0" w:color="auto"/>
        <w:left w:val="none" w:sz="0" w:space="0" w:color="auto"/>
        <w:bottom w:val="none" w:sz="0" w:space="0" w:color="auto"/>
        <w:right w:val="none" w:sz="0" w:space="0" w:color="auto"/>
      </w:divBdr>
    </w:div>
    <w:div w:id="458378525">
      <w:bodyDiv w:val="1"/>
      <w:marLeft w:val="0"/>
      <w:marRight w:val="0"/>
      <w:marTop w:val="0"/>
      <w:marBottom w:val="0"/>
      <w:divBdr>
        <w:top w:val="none" w:sz="0" w:space="0" w:color="auto"/>
        <w:left w:val="none" w:sz="0" w:space="0" w:color="auto"/>
        <w:bottom w:val="none" w:sz="0" w:space="0" w:color="auto"/>
        <w:right w:val="none" w:sz="0" w:space="0" w:color="auto"/>
      </w:divBdr>
    </w:div>
    <w:div w:id="460612209">
      <w:bodyDiv w:val="1"/>
      <w:marLeft w:val="0"/>
      <w:marRight w:val="0"/>
      <w:marTop w:val="0"/>
      <w:marBottom w:val="0"/>
      <w:divBdr>
        <w:top w:val="none" w:sz="0" w:space="0" w:color="auto"/>
        <w:left w:val="none" w:sz="0" w:space="0" w:color="auto"/>
        <w:bottom w:val="none" w:sz="0" w:space="0" w:color="auto"/>
        <w:right w:val="none" w:sz="0" w:space="0" w:color="auto"/>
      </w:divBdr>
    </w:div>
    <w:div w:id="513376015">
      <w:bodyDiv w:val="1"/>
      <w:marLeft w:val="0"/>
      <w:marRight w:val="0"/>
      <w:marTop w:val="0"/>
      <w:marBottom w:val="0"/>
      <w:divBdr>
        <w:top w:val="none" w:sz="0" w:space="0" w:color="auto"/>
        <w:left w:val="none" w:sz="0" w:space="0" w:color="auto"/>
        <w:bottom w:val="none" w:sz="0" w:space="0" w:color="auto"/>
        <w:right w:val="none" w:sz="0" w:space="0" w:color="auto"/>
      </w:divBdr>
    </w:div>
    <w:div w:id="514540772">
      <w:bodyDiv w:val="1"/>
      <w:marLeft w:val="0"/>
      <w:marRight w:val="0"/>
      <w:marTop w:val="0"/>
      <w:marBottom w:val="0"/>
      <w:divBdr>
        <w:top w:val="none" w:sz="0" w:space="0" w:color="auto"/>
        <w:left w:val="none" w:sz="0" w:space="0" w:color="auto"/>
        <w:bottom w:val="none" w:sz="0" w:space="0" w:color="auto"/>
        <w:right w:val="none" w:sz="0" w:space="0" w:color="auto"/>
      </w:divBdr>
    </w:div>
    <w:div w:id="652758399">
      <w:bodyDiv w:val="1"/>
      <w:marLeft w:val="0"/>
      <w:marRight w:val="0"/>
      <w:marTop w:val="0"/>
      <w:marBottom w:val="0"/>
      <w:divBdr>
        <w:top w:val="none" w:sz="0" w:space="0" w:color="auto"/>
        <w:left w:val="none" w:sz="0" w:space="0" w:color="auto"/>
        <w:bottom w:val="none" w:sz="0" w:space="0" w:color="auto"/>
        <w:right w:val="none" w:sz="0" w:space="0" w:color="auto"/>
      </w:divBdr>
    </w:div>
    <w:div w:id="771585684">
      <w:bodyDiv w:val="1"/>
      <w:marLeft w:val="0"/>
      <w:marRight w:val="0"/>
      <w:marTop w:val="0"/>
      <w:marBottom w:val="0"/>
      <w:divBdr>
        <w:top w:val="none" w:sz="0" w:space="0" w:color="auto"/>
        <w:left w:val="none" w:sz="0" w:space="0" w:color="auto"/>
        <w:bottom w:val="none" w:sz="0" w:space="0" w:color="auto"/>
        <w:right w:val="none" w:sz="0" w:space="0" w:color="auto"/>
      </w:divBdr>
    </w:div>
    <w:div w:id="772869255">
      <w:bodyDiv w:val="1"/>
      <w:marLeft w:val="0"/>
      <w:marRight w:val="0"/>
      <w:marTop w:val="0"/>
      <w:marBottom w:val="0"/>
      <w:divBdr>
        <w:top w:val="none" w:sz="0" w:space="0" w:color="auto"/>
        <w:left w:val="none" w:sz="0" w:space="0" w:color="auto"/>
        <w:bottom w:val="none" w:sz="0" w:space="0" w:color="auto"/>
        <w:right w:val="none" w:sz="0" w:space="0" w:color="auto"/>
      </w:divBdr>
    </w:div>
    <w:div w:id="888762100">
      <w:bodyDiv w:val="1"/>
      <w:marLeft w:val="0"/>
      <w:marRight w:val="0"/>
      <w:marTop w:val="0"/>
      <w:marBottom w:val="0"/>
      <w:divBdr>
        <w:top w:val="none" w:sz="0" w:space="0" w:color="auto"/>
        <w:left w:val="none" w:sz="0" w:space="0" w:color="auto"/>
        <w:bottom w:val="none" w:sz="0" w:space="0" w:color="auto"/>
        <w:right w:val="none" w:sz="0" w:space="0" w:color="auto"/>
      </w:divBdr>
    </w:div>
    <w:div w:id="967007101">
      <w:bodyDiv w:val="1"/>
      <w:marLeft w:val="0"/>
      <w:marRight w:val="0"/>
      <w:marTop w:val="0"/>
      <w:marBottom w:val="0"/>
      <w:divBdr>
        <w:top w:val="none" w:sz="0" w:space="0" w:color="auto"/>
        <w:left w:val="none" w:sz="0" w:space="0" w:color="auto"/>
        <w:bottom w:val="none" w:sz="0" w:space="0" w:color="auto"/>
        <w:right w:val="none" w:sz="0" w:space="0" w:color="auto"/>
      </w:divBdr>
    </w:div>
    <w:div w:id="1024088462">
      <w:bodyDiv w:val="1"/>
      <w:marLeft w:val="0"/>
      <w:marRight w:val="0"/>
      <w:marTop w:val="0"/>
      <w:marBottom w:val="0"/>
      <w:divBdr>
        <w:top w:val="none" w:sz="0" w:space="0" w:color="auto"/>
        <w:left w:val="none" w:sz="0" w:space="0" w:color="auto"/>
        <w:bottom w:val="none" w:sz="0" w:space="0" w:color="auto"/>
        <w:right w:val="none" w:sz="0" w:space="0" w:color="auto"/>
      </w:divBdr>
    </w:div>
    <w:div w:id="1128354548">
      <w:bodyDiv w:val="1"/>
      <w:marLeft w:val="0"/>
      <w:marRight w:val="0"/>
      <w:marTop w:val="0"/>
      <w:marBottom w:val="0"/>
      <w:divBdr>
        <w:top w:val="none" w:sz="0" w:space="0" w:color="auto"/>
        <w:left w:val="none" w:sz="0" w:space="0" w:color="auto"/>
        <w:bottom w:val="none" w:sz="0" w:space="0" w:color="auto"/>
        <w:right w:val="none" w:sz="0" w:space="0" w:color="auto"/>
      </w:divBdr>
    </w:div>
    <w:div w:id="1292325142">
      <w:bodyDiv w:val="1"/>
      <w:marLeft w:val="0"/>
      <w:marRight w:val="0"/>
      <w:marTop w:val="0"/>
      <w:marBottom w:val="0"/>
      <w:divBdr>
        <w:top w:val="none" w:sz="0" w:space="0" w:color="auto"/>
        <w:left w:val="none" w:sz="0" w:space="0" w:color="auto"/>
        <w:bottom w:val="none" w:sz="0" w:space="0" w:color="auto"/>
        <w:right w:val="none" w:sz="0" w:space="0" w:color="auto"/>
      </w:divBdr>
    </w:div>
    <w:div w:id="1413352343">
      <w:bodyDiv w:val="1"/>
      <w:marLeft w:val="0"/>
      <w:marRight w:val="0"/>
      <w:marTop w:val="0"/>
      <w:marBottom w:val="0"/>
      <w:divBdr>
        <w:top w:val="none" w:sz="0" w:space="0" w:color="auto"/>
        <w:left w:val="none" w:sz="0" w:space="0" w:color="auto"/>
        <w:bottom w:val="none" w:sz="0" w:space="0" w:color="auto"/>
        <w:right w:val="none" w:sz="0" w:space="0" w:color="auto"/>
      </w:divBdr>
    </w:div>
    <w:div w:id="1432049125">
      <w:bodyDiv w:val="1"/>
      <w:marLeft w:val="0"/>
      <w:marRight w:val="0"/>
      <w:marTop w:val="0"/>
      <w:marBottom w:val="0"/>
      <w:divBdr>
        <w:top w:val="none" w:sz="0" w:space="0" w:color="auto"/>
        <w:left w:val="none" w:sz="0" w:space="0" w:color="auto"/>
        <w:bottom w:val="none" w:sz="0" w:space="0" w:color="auto"/>
        <w:right w:val="none" w:sz="0" w:space="0" w:color="auto"/>
      </w:divBdr>
    </w:div>
    <w:div w:id="1453934262">
      <w:bodyDiv w:val="1"/>
      <w:marLeft w:val="0"/>
      <w:marRight w:val="0"/>
      <w:marTop w:val="0"/>
      <w:marBottom w:val="0"/>
      <w:divBdr>
        <w:top w:val="none" w:sz="0" w:space="0" w:color="auto"/>
        <w:left w:val="none" w:sz="0" w:space="0" w:color="auto"/>
        <w:bottom w:val="none" w:sz="0" w:space="0" w:color="auto"/>
        <w:right w:val="none" w:sz="0" w:space="0" w:color="auto"/>
      </w:divBdr>
    </w:div>
    <w:div w:id="1457262470">
      <w:bodyDiv w:val="1"/>
      <w:marLeft w:val="0"/>
      <w:marRight w:val="0"/>
      <w:marTop w:val="0"/>
      <w:marBottom w:val="0"/>
      <w:divBdr>
        <w:top w:val="none" w:sz="0" w:space="0" w:color="auto"/>
        <w:left w:val="none" w:sz="0" w:space="0" w:color="auto"/>
        <w:bottom w:val="none" w:sz="0" w:space="0" w:color="auto"/>
        <w:right w:val="none" w:sz="0" w:space="0" w:color="auto"/>
      </w:divBdr>
    </w:div>
    <w:div w:id="1498885303">
      <w:bodyDiv w:val="1"/>
      <w:marLeft w:val="0"/>
      <w:marRight w:val="0"/>
      <w:marTop w:val="0"/>
      <w:marBottom w:val="0"/>
      <w:divBdr>
        <w:top w:val="none" w:sz="0" w:space="0" w:color="auto"/>
        <w:left w:val="none" w:sz="0" w:space="0" w:color="auto"/>
        <w:bottom w:val="none" w:sz="0" w:space="0" w:color="auto"/>
        <w:right w:val="none" w:sz="0" w:space="0" w:color="auto"/>
      </w:divBdr>
    </w:div>
    <w:div w:id="1585384063">
      <w:bodyDiv w:val="1"/>
      <w:marLeft w:val="0"/>
      <w:marRight w:val="0"/>
      <w:marTop w:val="0"/>
      <w:marBottom w:val="0"/>
      <w:divBdr>
        <w:top w:val="none" w:sz="0" w:space="0" w:color="auto"/>
        <w:left w:val="none" w:sz="0" w:space="0" w:color="auto"/>
        <w:bottom w:val="none" w:sz="0" w:space="0" w:color="auto"/>
        <w:right w:val="none" w:sz="0" w:space="0" w:color="auto"/>
      </w:divBdr>
    </w:div>
    <w:div w:id="1586257847">
      <w:bodyDiv w:val="1"/>
      <w:marLeft w:val="0"/>
      <w:marRight w:val="0"/>
      <w:marTop w:val="0"/>
      <w:marBottom w:val="0"/>
      <w:divBdr>
        <w:top w:val="none" w:sz="0" w:space="0" w:color="auto"/>
        <w:left w:val="none" w:sz="0" w:space="0" w:color="auto"/>
        <w:bottom w:val="none" w:sz="0" w:space="0" w:color="auto"/>
        <w:right w:val="none" w:sz="0" w:space="0" w:color="auto"/>
      </w:divBdr>
    </w:div>
    <w:div w:id="1615625227">
      <w:bodyDiv w:val="1"/>
      <w:marLeft w:val="0"/>
      <w:marRight w:val="0"/>
      <w:marTop w:val="0"/>
      <w:marBottom w:val="0"/>
      <w:divBdr>
        <w:top w:val="none" w:sz="0" w:space="0" w:color="auto"/>
        <w:left w:val="none" w:sz="0" w:space="0" w:color="auto"/>
        <w:bottom w:val="none" w:sz="0" w:space="0" w:color="auto"/>
        <w:right w:val="none" w:sz="0" w:space="0" w:color="auto"/>
      </w:divBdr>
    </w:div>
    <w:div w:id="1901597888">
      <w:bodyDiv w:val="1"/>
      <w:marLeft w:val="0"/>
      <w:marRight w:val="0"/>
      <w:marTop w:val="0"/>
      <w:marBottom w:val="0"/>
      <w:divBdr>
        <w:top w:val="none" w:sz="0" w:space="0" w:color="auto"/>
        <w:left w:val="none" w:sz="0" w:space="0" w:color="auto"/>
        <w:bottom w:val="none" w:sz="0" w:space="0" w:color="auto"/>
        <w:right w:val="none" w:sz="0" w:space="0" w:color="auto"/>
      </w:divBdr>
    </w:div>
    <w:div w:id="1928998547">
      <w:bodyDiv w:val="1"/>
      <w:marLeft w:val="0"/>
      <w:marRight w:val="0"/>
      <w:marTop w:val="0"/>
      <w:marBottom w:val="0"/>
      <w:divBdr>
        <w:top w:val="none" w:sz="0" w:space="0" w:color="auto"/>
        <w:left w:val="none" w:sz="0" w:space="0" w:color="auto"/>
        <w:bottom w:val="none" w:sz="0" w:space="0" w:color="auto"/>
        <w:right w:val="none" w:sz="0" w:space="0" w:color="auto"/>
      </w:divBdr>
    </w:div>
    <w:div w:id="1996446658">
      <w:bodyDiv w:val="1"/>
      <w:marLeft w:val="0"/>
      <w:marRight w:val="0"/>
      <w:marTop w:val="0"/>
      <w:marBottom w:val="0"/>
      <w:divBdr>
        <w:top w:val="none" w:sz="0" w:space="0" w:color="auto"/>
        <w:left w:val="none" w:sz="0" w:space="0" w:color="auto"/>
        <w:bottom w:val="none" w:sz="0" w:space="0" w:color="auto"/>
        <w:right w:val="none" w:sz="0" w:space="0" w:color="auto"/>
      </w:divBdr>
    </w:div>
    <w:div w:id="20887209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footer" Target="footer2.xml"/><Relationship Id="rId26" Type="http://schemas.openxmlformats.org/officeDocument/2006/relationships/hyperlink" Target="http://www.ab.gov.tr" TargetMode="External"/><Relationship Id="rId39" Type="http://schemas.openxmlformats.org/officeDocument/2006/relationships/hyperlink" Target="http://www.cfcu.gov.tr" TargetMode="External"/><Relationship Id="rId21" Type="http://schemas.openxmlformats.org/officeDocument/2006/relationships/hyperlink" Target="https://wikis.ec.europa.eu/display/ExactExternalWiki/ePRAG" TargetMode="External"/><Relationship Id="rId34" Type="http://schemas.openxmlformats.org/officeDocument/2006/relationships/hyperlink" Target="https://eurochambres.eu" TargetMode="External"/><Relationship Id="rId42" Type="http://schemas.openxmlformats.org/officeDocument/2006/relationships/hyperlink" Target="http://www.tobb.org.tr" TargetMode="External"/><Relationship Id="rId47" Type="http://schemas.openxmlformats.org/officeDocument/2006/relationships/hyperlink" Target="http://www.tobb.org.tr" TargetMode="External"/><Relationship Id="rId50" Type="http://schemas.openxmlformats.org/officeDocument/2006/relationships/hyperlink" Target="http://www.cfcu.gov.tr" TargetMode="External"/><Relationship Id="rId55" Type="http://schemas.openxmlformats.org/officeDocument/2006/relationships/hyperlink" Target="https://ec.europa.eu/international-partnerships/funding/managing-project_en"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yperlink" Target="mailto:tebd2@cfcu.gov.tr" TargetMode="External"/><Relationship Id="rId11" Type="http://schemas.openxmlformats.org/officeDocument/2006/relationships/image" Target="media/image1.png"/><Relationship Id="rId24" Type="http://schemas.openxmlformats.org/officeDocument/2006/relationships/hyperlink" Target="https://www.eeas.europa.eu/delegations/t&#252;rkiye/visibility-guidelines-clarification-2022-guidelines-communicating-and-raising_en" TargetMode="External"/><Relationship Id="rId32" Type="http://schemas.openxmlformats.org/officeDocument/2006/relationships/hyperlink" Target="http://www.cfcu.gov.tr" TargetMode="External"/><Relationship Id="rId37" Type="http://schemas.openxmlformats.org/officeDocument/2006/relationships/hyperlink" Target="https://ec.europa.eu/international-partnerships/funding/looking-for-funding_en" TargetMode="External"/><Relationship Id="rId40" Type="http://schemas.openxmlformats.org/officeDocument/2006/relationships/hyperlink" Target="http://www.ab.gov.tr" TargetMode="External"/><Relationship Id="rId45" Type="http://schemas.openxmlformats.org/officeDocument/2006/relationships/hyperlink" Target="http://www.ab.gov.tr" TargetMode="External"/><Relationship Id="rId53" Type="http://schemas.openxmlformats.org/officeDocument/2006/relationships/hyperlink" Target="http://www.tobb.org.tr" TargetMode="External"/><Relationship Id="rId58" Type="http://schemas.openxmlformats.org/officeDocument/2006/relationships/header" Target="header3.xml"/><Relationship Id="rId5" Type="http://schemas.openxmlformats.org/officeDocument/2006/relationships/numbering" Target="numbering.xml"/><Relationship Id="rId19" Type="http://schemas.openxmlformats.org/officeDocument/2006/relationships/header" Target="header2.xml"/><Relationship Id="rId14" Type="http://schemas.openxmlformats.org/officeDocument/2006/relationships/image" Target="media/image4.jpeg"/><Relationship Id="rId22" Type="http://schemas.openxmlformats.org/officeDocument/2006/relationships/hyperlink" Target="https://www.ohchr.org/Documents/Publications/GuidingPrinciplesBusinessHR_EN.pdf" TargetMode="External"/><Relationship Id="rId27" Type="http://schemas.openxmlformats.org/officeDocument/2006/relationships/hyperlink" Target="http://www.tobb.org.tr" TargetMode="External"/><Relationship Id="rId30" Type="http://schemas.openxmlformats.org/officeDocument/2006/relationships/hyperlink" Target="https://ec.europa.eu/international-partnerships/funding/looking-for-funding_en" TargetMode="External"/><Relationship Id="rId35" Type="http://schemas.openxmlformats.org/officeDocument/2006/relationships/hyperlink" Target="http://www.tobb.org.tr" TargetMode="External"/><Relationship Id="rId43" Type="http://schemas.openxmlformats.org/officeDocument/2006/relationships/hyperlink" Target="http://ec.europa.eu/budget/explained/management/protecting/protect_en.cfm" TargetMode="External"/><Relationship Id="rId48" Type="http://schemas.openxmlformats.org/officeDocument/2006/relationships/hyperlink" Target="https://ec.europa.eu/international-partnerships/home_fr" TargetMode="External"/><Relationship Id="rId56" Type="http://schemas.openxmlformats.org/officeDocument/2006/relationships/hyperlink" Target="https://wikis.ec.europa.eu/pages/viewpage.action?pageId=48169235" TargetMode="External"/><Relationship Id="rId8" Type="http://schemas.openxmlformats.org/officeDocument/2006/relationships/webSettings" Target="webSettings.xml"/><Relationship Id="rId51" Type="http://schemas.openxmlformats.org/officeDocument/2006/relationships/hyperlink" Target="https://eurochambres.eu" TargetMode="Externa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footer" Target="footer1.xml"/><Relationship Id="rId25" Type="http://schemas.openxmlformats.org/officeDocument/2006/relationships/hyperlink" Target="http://www.cfcu.gov.tr" TargetMode="External"/><Relationship Id="rId33" Type="http://schemas.openxmlformats.org/officeDocument/2006/relationships/hyperlink" Target="http://www.ab.gov.tr" TargetMode="External"/><Relationship Id="rId38" Type="http://schemas.openxmlformats.org/officeDocument/2006/relationships/hyperlink" Target="https://ec.europa.eu/info/funding-tenders/opportunities/portal/screen/home%20" TargetMode="External"/><Relationship Id="rId46" Type="http://schemas.openxmlformats.org/officeDocument/2006/relationships/hyperlink" Target="https://eurochambres.eu" TargetMode="External"/><Relationship Id="rId59" Type="http://schemas.openxmlformats.org/officeDocument/2006/relationships/fontTable" Target="fontTable.xml"/><Relationship Id="rId20" Type="http://schemas.openxmlformats.org/officeDocument/2006/relationships/footer" Target="footer3.xml"/><Relationship Id="rId41" Type="http://schemas.openxmlformats.org/officeDocument/2006/relationships/hyperlink" Target="https://eurochambres.eu" TargetMode="External"/><Relationship Id="rId54" Type="http://schemas.openxmlformats.org/officeDocument/2006/relationships/hyperlink" Target="https://international-partnerships.ec.europa.eu/funding/guidelines/managing-project/diem-rates_en" TargetMode="External"/><Relationship Id="rId7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hyperlink" Target="https://ec.europa.eu/international-partnerships/comm-visibility-requirements_en" TargetMode="External"/><Relationship Id="rId28" Type="http://schemas.openxmlformats.org/officeDocument/2006/relationships/hyperlink" Target="https://www.eurochambres.eu" TargetMode="External"/><Relationship Id="rId36" Type="http://schemas.openxmlformats.org/officeDocument/2006/relationships/hyperlink" Target="mailto:tebd2@cfcu.gov.tr" TargetMode="External"/><Relationship Id="rId49" Type="http://schemas.openxmlformats.org/officeDocument/2006/relationships/hyperlink" Target="https://ec.europa.eu/info/funding-tenders/opportunities/portal/screen/home%20" TargetMode="External"/><Relationship Id="rId57" Type="http://schemas.openxmlformats.org/officeDocument/2006/relationships/hyperlink" Target="https://ec.europa.eu/international-partnerships/financial-management-toolkit_en" TargetMode="External"/><Relationship Id="rId10" Type="http://schemas.openxmlformats.org/officeDocument/2006/relationships/endnotes" Target="endnotes.xml"/><Relationship Id="rId31" Type="http://schemas.openxmlformats.org/officeDocument/2006/relationships/hyperlink" Target="https://ec.europa.eu/info/funding-tenders/opportunities/portal/screen/home%20" TargetMode="External"/><Relationship Id="rId44" Type="http://schemas.openxmlformats.org/officeDocument/2006/relationships/hyperlink" Target="http://www.cfcu.gov.tr" TargetMode="External"/><Relationship Id="rId52" Type="http://schemas.openxmlformats.org/officeDocument/2006/relationships/hyperlink" Target="http://www.ab.gov.tr" TargetMode="Externa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www.sanayi.gov.tr/merkez-birimi/b94224510b7b/sege" TargetMode="External"/><Relationship Id="rId3" Type="http://schemas.openxmlformats.org/officeDocument/2006/relationships/hyperlink" Target="https://www.tobb.org.tr/Sayfalar/Eng/SanayiOdalari.php" TargetMode="External"/><Relationship Id="rId7" Type="http://schemas.openxmlformats.org/officeDocument/2006/relationships/hyperlink" Target="https://www.eurochambres.eu/about/members/" TargetMode="External"/><Relationship Id="rId2" Type="http://schemas.openxmlformats.org/officeDocument/2006/relationships/hyperlink" Target="https://www.tobb.org.tr/Sayfalar/Eng/TicaretOdalari.php" TargetMode="External"/><Relationship Id="rId1" Type="http://schemas.openxmlformats.org/officeDocument/2006/relationships/hyperlink" Target="https://wikis.ec.europa.eu/display/ExactExternalWiki/Annexes" TargetMode="External"/><Relationship Id="rId6" Type="http://schemas.openxmlformats.org/officeDocument/2006/relationships/hyperlink" Target="https://www.tobb.org.tr/Sayfalar/Eng/TicaretBorsalari.php" TargetMode="External"/><Relationship Id="rId5" Type="http://schemas.openxmlformats.org/officeDocument/2006/relationships/hyperlink" Target="https://www.tobb.org.tr/Sayfalar/Eng/DenizTicaretOdalari.php" TargetMode="External"/><Relationship Id="rId4" Type="http://schemas.openxmlformats.org/officeDocument/2006/relationships/hyperlink" Target="https://www.tobb.org.tr/Sayfalar/Eng/TicaretveSanayiOdalari.php" TargetMode="External"/><Relationship Id="rId9" Type="http://schemas.openxmlformats.org/officeDocument/2006/relationships/hyperlink" Target="https://www.sanayi.gov.tr/merkez-birimi/b94224510b7b/se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a2f525-f397-4de2-bd66-f45c47f0c19a">
      <Terms xmlns="http://schemas.microsoft.com/office/infopath/2007/PartnerControls"/>
    </lcf76f155ced4ddcb4097134ff3c332f>
    <TaxCatchAll xmlns="33a45235-41f2-4c07-abd6-89f15a95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B3012C909F04B48BA80475B80D1027D" ma:contentTypeVersion="11" ma:contentTypeDescription="Create a new document." ma:contentTypeScope="" ma:versionID="5e8ebdbd19cbcd28c71b7e9324765771">
  <xsd:schema xmlns:xsd="http://www.w3.org/2001/XMLSchema" xmlns:xs="http://www.w3.org/2001/XMLSchema" xmlns:p="http://schemas.microsoft.com/office/2006/metadata/properties" xmlns:ns2="71a2f525-f397-4de2-bd66-f45c47f0c19a" xmlns:ns3="33a45235-41f2-4c07-abd6-89f15a9502a5" targetNamespace="http://schemas.microsoft.com/office/2006/metadata/properties" ma:root="true" ma:fieldsID="961b2ef7d85febffd9eee53e77e722e2" ns2:_="" ns3:_="">
    <xsd:import namespace="71a2f525-f397-4de2-bd66-f45c47f0c19a"/>
    <xsd:import namespace="33a45235-41f2-4c07-abd6-89f15a9502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2f525-f397-4de2-bd66-f45c47f0c1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ad61b7b-f5dc-4060-9b32-94634ee1ff2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a45235-41f2-4c07-abd6-89f15a9502a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cc8480b-0bc7-45a0-b1b3-1a7fddb940f6}" ma:internalName="TaxCatchAll" ma:showField="CatchAllData" ma:web="33a45235-41f2-4c07-abd6-89f15a9502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769BF-C781-4351-B071-41D56E215591}">
  <ds:schemaRefs>
    <ds:schemaRef ds:uri="http://schemas.microsoft.com/office/2006/metadata/properties"/>
    <ds:schemaRef ds:uri="http://schemas.microsoft.com/office/infopath/2007/PartnerControls"/>
    <ds:schemaRef ds:uri="71a2f525-f397-4de2-bd66-f45c47f0c19a"/>
    <ds:schemaRef ds:uri="33a45235-41f2-4c07-abd6-89f15a9502a5"/>
  </ds:schemaRefs>
</ds:datastoreItem>
</file>

<file path=customXml/itemProps2.xml><?xml version="1.0" encoding="utf-8"?>
<ds:datastoreItem xmlns:ds="http://schemas.openxmlformats.org/officeDocument/2006/customXml" ds:itemID="{190CC722-FB72-4417-A002-0E9072DC0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2f525-f397-4de2-bd66-f45c47f0c19a"/>
    <ds:schemaRef ds:uri="33a45235-41f2-4c07-abd6-89f15a9502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F2155D-A629-454A-B136-6285E639D256}">
  <ds:schemaRefs>
    <ds:schemaRef ds:uri="http://schemas.microsoft.com/sharepoint/v3/contenttype/forms"/>
  </ds:schemaRefs>
</ds:datastoreItem>
</file>

<file path=customXml/itemProps4.xml><?xml version="1.0" encoding="utf-8"?>
<ds:datastoreItem xmlns:ds="http://schemas.openxmlformats.org/officeDocument/2006/customXml" ds:itemID="{CD757637-7462-4EE5-8D8C-3E1C813C0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812</TotalTime>
  <Pages>29</Pages>
  <Words>13801</Words>
  <Characters>78672</Characters>
  <Application>Microsoft Office Word</Application>
  <DocSecurity>0</DocSecurity>
  <Lines>655</Lines>
  <Paragraphs>184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European Commission</Company>
  <LinksUpToDate>false</LinksUpToDate>
  <CharactersWithSpaces>92289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florean</dc:creator>
  <cp:keywords/>
  <dc:description/>
  <cp:lastModifiedBy>CFCU</cp:lastModifiedBy>
  <cp:revision>22</cp:revision>
  <cp:lastPrinted>2023-08-02T08:30:00Z</cp:lastPrinted>
  <dcterms:created xsi:type="dcterms:W3CDTF">2023-09-06T08:14:00Z</dcterms:created>
  <dcterms:modified xsi:type="dcterms:W3CDTF">2024-01-25T07:37:00Z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Schamly</vt:lpwstr>
  </property>
  <property fmtid="{D5CDD505-2E9C-101B-9397-08002B2CF9AE}" pid="3" name="Editor">
    <vt:lpwstr>wagneel</vt:lpwstr>
  </property>
  <property fmtid="{D5CDD505-2E9C-101B-9397-08002B2CF9AE}" pid="4" name="_DocHome">
    <vt:i4>52126651</vt:i4>
  </property>
  <property fmtid="{D5CDD505-2E9C-101B-9397-08002B2CF9AE}" pid="5" name="ContentTypeId">
    <vt:lpwstr>0x0101004B3012C909F04B48BA80475B80D1027D</vt:lpwstr>
  </property>
  <property fmtid="{D5CDD505-2E9C-101B-9397-08002B2CF9AE}" pid="6" name="MediaServiceImageTags">
    <vt:lpwstr/>
  </property>
</Properties>
</file>