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DC" w:rsidRPr="00995920" w:rsidRDefault="00255D40" w:rsidP="00B01293">
      <w:pPr>
        <w:pStyle w:val="KonuBal"/>
        <w:jc w:val="center"/>
        <w:rPr>
          <w:rFonts w:ascii="Times New Roman" w:hAnsi="Times New Roman" w:cs="Times New Roman"/>
          <w:b/>
          <w:color w:val="1F3864" w:themeColor="accent5" w:themeShade="80"/>
        </w:rPr>
      </w:pPr>
      <w:r>
        <w:rPr>
          <w:rFonts w:ascii="Times New Roman" w:hAnsi="Times New Roman" w:cs="Times New Roman"/>
          <w:b/>
          <w:color w:val="1F3864" w:themeColor="accent5" w:themeShade="80"/>
        </w:rPr>
        <w:t>COSME PROGRAMI</w:t>
      </w:r>
      <w:bookmarkStart w:id="0" w:name="_GoBack"/>
      <w:bookmarkEnd w:id="0"/>
      <w:r w:rsidR="009B0B01" w:rsidRPr="00995920">
        <w:rPr>
          <w:rFonts w:ascii="Times New Roman" w:hAnsi="Times New Roman" w:cs="Times New Roman"/>
          <w:b/>
          <w:color w:val="1F3864" w:themeColor="accent5" w:themeShade="80"/>
        </w:rPr>
        <w:t xml:space="preserve"> AÇIK ÇAĞRILAR</w:t>
      </w:r>
    </w:p>
    <w:p w:rsidR="009B0B01" w:rsidRPr="00995920" w:rsidRDefault="009B0B01"/>
    <w:tbl>
      <w:tblPr>
        <w:tblStyle w:val="TabloKlavuzu"/>
        <w:tblW w:w="0" w:type="auto"/>
        <w:tblLook w:val="04A0" w:firstRow="1" w:lastRow="0" w:firstColumn="1" w:lastColumn="0" w:noHBand="0" w:noVBand="1"/>
      </w:tblPr>
      <w:tblGrid>
        <w:gridCol w:w="1977"/>
        <w:gridCol w:w="3179"/>
        <w:gridCol w:w="2736"/>
        <w:gridCol w:w="2346"/>
        <w:gridCol w:w="3756"/>
      </w:tblGrid>
      <w:tr w:rsidR="005061DE" w:rsidRPr="00995920" w:rsidTr="00F4630A">
        <w:tc>
          <w:tcPr>
            <w:tcW w:w="1977" w:type="dxa"/>
            <w:shd w:val="clear" w:color="auto" w:fill="C5E0B3" w:themeFill="accent6" w:themeFillTint="66"/>
          </w:tcPr>
          <w:p w:rsidR="005061DE" w:rsidRPr="00995920" w:rsidRDefault="005061DE" w:rsidP="005061DE">
            <w:pPr>
              <w:rPr>
                <w:b/>
                <w:sz w:val="22"/>
                <w:szCs w:val="22"/>
              </w:rPr>
            </w:pPr>
            <w:r w:rsidRPr="00995920">
              <w:rPr>
                <w:b/>
                <w:sz w:val="22"/>
                <w:szCs w:val="22"/>
              </w:rPr>
              <w:t>COSME</w:t>
            </w:r>
          </w:p>
        </w:tc>
        <w:tc>
          <w:tcPr>
            <w:tcW w:w="3179" w:type="dxa"/>
            <w:shd w:val="clear" w:color="auto" w:fill="C5E0B3" w:themeFill="accent6" w:themeFillTint="66"/>
          </w:tcPr>
          <w:p w:rsidR="005061DE" w:rsidRPr="00995920" w:rsidRDefault="005061DE" w:rsidP="005061DE">
            <w:pPr>
              <w:rPr>
                <w:b/>
                <w:sz w:val="22"/>
                <w:szCs w:val="22"/>
              </w:rPr>
            </w:pPr>
            <w:r w:rsidRPr="00995920">
              <w:rPr>
                <w:b/>
                <w:sz w:val="22"/>
                <w:szCs w:val="22"/>
              </w:rPr>
              <w:t xml:space="preserve">Sürdürülebilir ve Döngüsel Bir Moda Endüstrisi için </w:t>
            </w:r>
            <w:proofErr w:type="spellStart"/>
            <w:r w:rsidRPr="00995920">
              <w:rPr>
                <w:b/>
                <w:sz w:val="22"/>
                <w:szCs w:val="22"/>
              </w:rPr>
              <w:t>İnovasyon</w:t>
            </w:r>
            <w:proofErr w:type="spellEnd"/>
            <w:r w:rsidRPr="00995920">
              <w:rPr>
                <w:b/>
                <w:sz w:val="22"/>
                <w:szCs w:val="22"/>
              </w:rPr>
              <w:t xml:space="preserve"> Uygulamalarının Hızlandırılması ve Ölçeklendirilmesi</w:t>
            </w:r>
          </w:p>
          <w:p w:rsidR="005061DE" w:rsidRPr="00995920" w:rsidRDefault="005061DE" w:rsidP="005061DE">
            <w:pPr>
              <w:rPr>
                <w:sz w:val="22"/>
                <w:szCs w:val="22"/>
              </w:rPr>
            </w:pPr>
          </w:p>
          <w:p w:rsidR="005061DE" w:rsidRPr="00995920" w:rsidRDefault="005061DE" w:rsidP="006F6588">
            <w:pPr>
              <w:rPr>
                <w:sz w:val="22"/>
                <w:szCs w:val="22"/>
              </w:rPr>
            </w:pPr>
          </w:p>
        </w:tc>
        <w:tc>
          <w:tcPr>
            <w:tcW w:w="2736" w:type="dxa"/>
            <w:shd w:val="clear" w:color="auto" w:fill="C5E0B3" w:themeFill="accent6" w:themeFillTint="66"/>
          </w:tcPr>
          <w:p w:rsidR="005061DE" w:rsidRPr="00995920" w:rsidRDefault="005061DE" w:rsidP="005061DE">
            <w:pPr>
              <w:rPr>
                <w:sz w:val="22"/>
                <w:szCs w:val="22"/>
              </w:rPr>
            </w:pPr>
            <w:r w:rsidRPr="00995920">
              <w:rPr>
                <w:sz w:val="22"/>
                <w:szCs w:val="22"/>
              </w:rPr>
              <w:t>Konsorsiyumda yer alan başvuru sahipleri tüzel kişi olmalıdır. Söz konusu tüzel kişiler:</w:t>
            </w:r>
          </w:p>
          <w:p w:rsidR="005061DE" w:rsidRPr="00995920" w:rsidRDefault="005061DE" w:rsidP="00F4630A">
            <w:pPr>
              <w:pStyle w:val="ListeParagraf"/>
              <w:numPr>
                <w:ilvl w:val="0"/>
                <w:numId w:val="5"/>
              </w:numPr>
              <w:ind w:left="170" w:hanging="170"/>
              <w:rPr>
                <w:sz w:val="22"/>
                <w:szCs w:val="22"/>
              </w:rPr>
            </w:pPr>
            <w:r w:rsidRPr="00995920">
              <w:rPr>
                <w:sz w:val="22"/>
                <w:szCs w:val="22"/>
              </w:rPr>
              <w:t>Üniversiteler ve Eğitim Kurumları</w:t>
            </w:r>
          </w:p>
          <w:p w:rsidR="005061DE" w:rsidRPr="00995920" w:rsidRDefault="005061DE" w:rsidP="00F4630A">
            <w:pPr>
              <w:pStyle w:val="ListeParagraf"/>
              <w:numPr>
                <w:ilvl w:val="0"/>
                <w:numId w:val="5"/>
              </w:numPr>
              <w:ind w:left="170" w:hanging="170"/>
              <w:rPr>
                <w:sz w:val="22"/>
                <w:szCs w:val="22"/>
              </w:rPr>
            </w:pPr>
            <w:r w:rsidRPr="00995920">
              <w:rPr>
                <w:sz w:val="22"/>
                <w:szCs w:val="22"/>
              </w:rPr>
              <w:t>Uluslararası Organizasyonlar</w:t>
            </w:r>
          </w:p>
          <w:p w:rsidR="005061DE" w:rsidRPr="00995920" w:rsidRDefault="005061DE" w:rsidP="00F4630A">
            <w:pPr>
              <w:pStyle w:val="ListeParagraf"/>
              <w:numPr>
                <w:ilvl w:val="0"/>
                <w:numId w:val="5"/>
              </w:numPr>
              <w:ind w:left="170" w:hanging="170"/>
              <w:rPr>
                <w:sz w:val="22"/>
                <w:szCs w:val="22"/>
              </w:rPr>
            </w:pPr>
            <w:r w:rsidRPr="00995920">
              <w:rPr>
                <w:sz w:val="22"/>
                <w:szCs w:val="22"/>
              </w:rPr>
              <w:t>Sivil Toplum Örgütleri</w:t>
            </w:r>
          </w:p>
          <w:p w:rsidR="005061DE" w:rsidRPr="00995920" w:rsidRDefault="005061DE" w:rsidP="00F4630A">
            <w:pPr>
              <w:pStyle w:val="ListeParagraf"/>
              <w:numPr>
                <w:ilvl w:val="0"/>
                <w:numId w:val="5"/>
              </w:numPr>
              <w:ind w:left="170" w:hanging="170"/>
              <w:rPr>
                <w:sz w:val="22"/>
                <w:szCs w:val="22"/>
              </w:rPr>
            </w:pPr>
            <w:r w:rsidRPr="00995920">
              <w:rPr>
                <w:sz w:val="22"/>
                <w:szCs w:val="22"/>
              </w:rPr>
              <w:t>Geri Dönüşüm Merkezleri</w:t>
            </w:r>
          </w:p>
          <w:p w:rsidR="005061DE" w:rsidRPr="00995920" w:rsidRDefault="005061DE" w:rsidP="00F4630A">
            <w:pPr>
              <w:pStyle w:val="ListeParagraf"/>
              <w:numPr>
                <w:ilvl w:val="0"/>
                <w:numId w:val="5"/>
              </w:numPr>
              <w:ind w:left="170" w:hanging="170"/>
              <w:rPr>
                <w:sz w:val="22"/>
                <w:szCs w:val="22"/>
              </w:rPr>
            </w:pPr>
            <w:r w:rsidRPr="00995920">
              <w:rPr>
                <w:sz w:val="22"/>
                <w:szCs w:val="22"/>
              </w:rPr>
              <w:t>Kamu Kurum ve Kuruluşları</w:t>
            </w:r>
          </w:p>
          <w:p w:rsidR="005061DE" w:rsidRPr="00995920" w:rsidRDefault="005061DE" w:rsidP="00F4630A">
            <w:pPr>
              <w:pStyle w:val="ListeParagraf"/>
              <w:numPr>
                <w:ilvl w:val="0"/>
                <w:numId w:val="5"/>
              </w:numPr>
              <w:ind w:left="170" w:hanging="170"/>
              <w:rPr>
                <w:sz w:val="22"/>
                <w:szCs w:val="22"/>
              </w:rPr>
            </w:pPr>
            <w:r w:rsidRPr="00995920">
              <w:rPr>
                <w:sz w:val="22"/>
                <w:szCs w:val="22"/>
              </w:rPr>
              <w:t>Araştırma Merkezleri</w:t>
            </w:r>
          </w:p>
          <w:p w:rsidR="005061DE" w:rsidRPr="00995920" w:rsidRDefault="005061DE" w:rsidP="00F4630A">
            <w:pPr>
              <w:pStyle w:val="ListeParagraf"/>
              <w:numPr>
                <w:ilvl w:val="0"/>
                <w:numId w:val="5"/>
              </w:numPr>
              <w:ind w:left="170" w:hanging="170"/>
              <w:rPr>
                <w:sz w:val="22"/>
                <w:szCs w:val="22"/>
              </w:rPr>
            </w:pPr>
            <w:r w:rsidRPr="00995920">
              <w:rPr>
                <w:sz w:val="22"/>
                <w:szCs w:val="22"/>
              </w:rPr>
              <w:t>Kar Amacı Gütmeyen Kuruluşlar</w:t>
            </w:r>
          </w:p>
          <w:p w:rsidR="005061DE" w:rsidRPr="00995920" w:rsidRDefault="005061DE" w:rsidP="00F4630A">
            <w:pPr>
              <w:pStyle w:val="ListeParagraf"/>
              <w:numPr>
                <w:ilvl w:val="0"/>
                <w:numId w:val="5"/>
              </w:numPr>
              <w:ind w:left="170" w:hanging="170"/>
              <w:rPr>
                <w:sz w:val="22"/>
                <w:szCs w:val="22"/>
              </w:rPr>
            </w:pPr>
            <w:r w:rsidRPr="00995920">
              <w:rPr>
                <w:sz w:val="22"/>
                <w:szCs w:val="22"/>
              </w:rPr>
              <w:t>Kar Amacı Güden Kuruluşlar</w:t>
            </w:r>
          </w:p>
        </w:tc>
        <w:tc>
          <w:tcPr>
            <w:tcW w:w="2346" w:type="dxa"/>
            <w:shd w:val="clear" w:color="auto" w:fill="C5E0B3" w:themeFill="accent6" w:themeFillTint="66"/>
          </w:tcPr>
          <w:p w:rsidR="005061DE" w:rsidRPr="00995920" w:rsidRDefault="005061DE" w:rsidP="005061DE">
            <w:pPr>
              <w:rPr>
                <w:sz w:val="22"/>
                <w:szCs w:val="22"/>
              </w:rPr>
            </w:pPr>
            <w:proofErr w:type="spellStart"/>
            <w:r w:rsidRPr="00995920">
              <w:rPr>
                <w:sz w:val="22"/>
                <w:szCs w:val="22"/>
              </w:rPr>
              <w:t>EASME’nin</w:t>
            </w:r>
            <w:proofErr w:type="spellEnd"/>
            <w:r w:rsidRPr="00995920">
              <w:rPr>
                <w:sz w:val="22"/>
                <w:szCs w:val="22"/>
              </w:rPr>
              <w:t xml:space="preserve"> 4 teklifi fonlaması beklenmektedir. </w:t>
            </w:r>
          </w:p>
          <w:p w:rsidR="005061DE" w:rsidRPr="00995920" w:rsidRDefault="005061DE" w:rsidP="005061DE">
            <w:pPr>
              <w:rPr>
                <w:sz w:val="22"/>
                <w:szCs w:val="22"/>
              </w:rPr>
            </w:pPr>
            <w:r w:rsidRPr="00995920">
              <w:rPr>
                <w:sz w:val="22"/>
                <w:szCs w:val="22"/>
              </w:rPr>
              <w:t xml:space="preserve">Proje başına azami hibe 875,000.00. </w:t>
            </w:r>
            <w:proofErr w:type="spellStart"/>
            <w:r w:rsidRPr="00995920">
              <w:rPr>
                <w:sz w:val="22"/>
                <w:szCs w:val="22"/>
              </w:rPr>
              <w:t>Avro’dur</w:t>
            </w:r>
            <w:proofErr w:type="spellEnd"/>
            <w:r w:rsidRPr="00995920">
              <w:rPr>
                <w:sz w:val="22"/>
                <w:szCs w:val="22"/>
              </w:rPr>
              <w:t xml:space="preserve">. </w:t>
            </w:r>
          </w:p>
          <w:p w:rsidR="005061DE" w:rsidRPr="00995920" w:rsidRDefault="005061DE" w:rsidP="005061DE">
            <w:pPr>
              <w:rPr>
                <w:sz w:val="22"/>
                <w:szCs w:val="22"/>
              </w:rPr>
            </w:pPr>
          </w:p>
          <w:p w:rsidR="005061DE" w:rsidRPr="00995920" w:rsidRDefault="005061DE" w:rsidP="00F4630A">
            <w:pPr>
              <w:rPr>
                <w:b/>
                <w:sz w:val="22"/>
                <w:szCs w:val="22"/>
              </w:rPr>
            </w:pPr>
          </w:p>
        </w:tc>
        <w:tc>
          <w:tcPr>
            <w:tcW w:w="3756" w:type="dxa"/>
            <w:shd w:val="clear" w:color="auto" w:fill="C5E0B3" w:themeFill="accent6" w:themeFillTint="66"/>
          </w:tcPr>
          <w:p w:rsidR="005061DE" w:rsidRPr="00995920" w:rsidRDefault="005061DE" w:rsidP="005061DE">
            <w:pPr>
              <w:rPr>
                <w:sz w:val="22"/>
                <w:szCs w:val="22"/>
              </w:rPr>
            </w:pPr>
            <w:r w:rsidRPr="00995920">
              <w:rPr>
                <w:sz w:val="22"/>
                <w:szCs w:val="22"/>
              </w:rPr>
              <w:t xml:space="preserve">Teklifler elektronik olarak </w:t>
            </w:r>
            <w:r w:rsidR="0090748B">
              <w:rPr>
                <w:b/>
                <w:sz w:val="22"/>
                <w:szCs w:val="22"/>
              </w:rPr>
              <w:t>30 Ocak</w:t>
            </w:r>
            <w:r w:rsidRPr="00995920">
              <w:rPr>
                <w:b/>
                <w:sz w:val="22"/>
                <w:szCs w:val="22"/>
              </w:rPr>
              <w:t xml:space="preserve"> 2019</w:t>
            </w:r>
            <w:r w:rsidRPr="00995920">
              <w:rPr>
                <w:sz w:val="22"/>
                <w:szCs w:val="22"/>
              </w:rPr>
              <w:t xml:space="preserve"> saat: 17.00'ye (Brüksel saati) kadar sunulabilir.</w:t>
            </w:r>
          </w:p>
          <w:p w:rsidR="005061DE" w:rsidRPr="00995920" w:rsidRDefault="005061DE" w:rsidP="005061DE">
            <w:pPr>
              <w:rPr>
                <w:sz w:val="22"/>
                <w:szCs w:val="22"/>
              </w:rPr>
            </w:pPr>
          </w:p>
          <w:p w:rsidR="005061DE" w:rsidRPr="00995920" w:rsidRDefault="005061DE" w:rsidP="005061DE">
            <w:pPr>
              <w:rPr>
                <w:sz w:val="22"/>
                <w:szCs w:val="22"/>
              </w:rPr>
            </w:pPr>
            <w:r w:rsidRPr="00995920">
              <w:rPr>
                <w:sz w:val="22"/>
                <w:szCs w:val="22"/>
              </w:rPr>
              <w:t>Elektronik başvuru yapmadan önce “Başvuru Sahipleri İçin Rehber” doküman ve tüm detayları içeren</w:t>
            </w:r>
          </w:p>
          <w:p w:rsidR="005061DE" w:rsidRPr="00995920" w:rsidRDefault="005061DE" w:rsidP="005061DE">
            <w:pPr>
              <w:rPr>
                <w:sz w:val="22"/>
                <w:szCs w:val="22"/>
              </w:rPr>
            </w:pPr>
            <w:r w:rsidRPr="00995920">
              <w:rPr>
                <w:sz w:val="22"/>
                <w:szCs w:val="22"/>
              </w:rPr>
              <w:t xml:space="preserve">“Çağrı Metni” tam olarak incelenmelidir. Çağrı metni ve diğer ilgili dokümanlar için </w:t>
            </w:r>
            <w:hyperlink r:id="rId5" w:history="1">
              <w:r w:rsidRPr="00995920">
                <w:rPr>
                  <w:rStyle w:val="Kpr"/>
                  <w:sz w:val="22"/>
                  <w:szCs w:val="22"/>
                </w:rPr>
                <w:t>tıklayınız.</w:t>
              </w:r>
            </w:hyperlink>
            <w:r w:rsidRPr="00995920">
              <w:rPr>
                <w:sz w:val="22"/>
                <w:szCs w:val="22"/>
              </w:rPr>
              <w:t xml:space="preserve"> </w:t>
            </w:r>
          </w:p>
          <w:p w:rsidR="005061DE" w:rsidRPr="00995920" w:rsidRDefault="005061DE" w:rsidP="005061DE">
            <w:pPr>
              <w:rPr>
                <w:b/>
                <w:sz w:val="22"/>
                <w:szCs w:val="22"/>
              </w:rPr>
            </w:pPr>
          </w:p>
          <w:p w:rsidR="005061DE" w:rsidRPr="00995920" w:rsidRDefault="005061DE" w:rsidP="005061DE">
            <w:pPr>
              <w:rPr>
                <w:b/>
                <w:sz w:val="22"/>
                <w:szCs w:val="22"/>
              </w:rPr>
            </w:pPr>
          </w:p>
        </w:tc>
      </w:tr>
      <w:tr w:rsidR="0090748B" w:rsidRPr="00995920" w:rsidTr="00F4630A">
        <w:tc>
          <w:tcPr>
            <w:tcW w:w="1977" w:type="dxa"/>
            <w:shd w:val="clear" w:color="auto" w:fill="C5E0B3" w:themeFill="accent6" w:themeFillTint="66"/>
          </w:tcPr>
          <w:p w:rsidR="0090748B" w:rsidRPr="00995920" w:rsidRDefault="0090748B" w:rsidP="005061DE">
            <w:pPr>
              <w:rPr>
                <w:b/>
                <w:sz w:val="22"/>
                <w:szCs w:val="22"/>
              </w:rPr>
            </w:pPr>
            <w:r w:rsidRPr="0090748B">
              <w:rPr>
                <w:b/>
                <w:sz w:val="22"/>
                <w:szCs w:val="22"/>
              </w:rPr>
              <w:t>COSME</w:t>
            </w:r>
          </w:p>
        </w:tc>
        <w:tc>
          <w:tcPr>
            <w:tcW w:w="3179" w:type="dxa"/>
            <w:shd w:val="clear" w:color="auto" w:fill="C5E0B3" w:themeFill="accent6" w:themeFillTint="66"/>
          </w:tcPr>
          <w:p w:rsidR="0090748B" w:rsidRPr="00995920" w:rsidRDefault="00F656F0" w:rsidP="005061DE">
            <w:pPr>
              <w:rPr>
                <w:b/>
                <w:sz w:val="22"/>
                <w:szCs w:val="22"/>
              </w:rPr>
            </w:pPr>
            <w:r w:rsidRPr="00F656F0">
              <w:rPr>
                <w:b/>
                <w:sz w:val="22"/>
                <w:szCs w:val="22"/>
              </w:rPr>
              <w:t>Kredi Garanti Desteği (</w:t>
            </w:r>
            <w:proofErr w:type="spellStart"/>
            <w:r w:rsidRPr="00F656F0">
              <w:rPr>
                <w:b/>
                <w:sz w:val="22"/>
                <w:szCs w:val="22"/>
              </w:rPr>
              <w:t>Loan</w:t>
            </w:r>
            <w:proofErr w:type="spellEnd"/>
            <w:r w:rsidRPr="00F656F0">
              <w:rPr>
                <w:b/>
                <w:sz w:val="22"/>
                <w:szCs w:val="22"/>
              </w:rPr>
              <w:t xml:space="preserve"> </w:t>
            </w:r>
            <w:proofErr w:type="spellStart"/>
            <w:r w:rsidRPr="00F656F0">
              <w:rPr>
                <w:b/>
                <w:sz w:val="22"/>
                <w:szCs w:val="22"/>
              </w:rPr>
              <w:t>Guarantee</w:t>
            </w:r>
            <w:proofErr w:type="spellEnd"/>
            <w:r w:rsidRPr="00F656F0">
              <w:rPr>
                <w:b/>
                <w:sz w:val="22"/>
                <w:szCs w:val="22"/>
              </w:rPr>
              <w:t xml:space="preserve"> </w:t>
            </w:r>
            <w:proofErr w:type="spellStart"/>
            <w:r w:rsidRPr="00F656F0">
              <w:rPr>
                <w:b/>
                <w:sz w:val="22"/>
                <w:szCs w:val="22"/>
              </w:rPr>
              <w:t>Facility</w:t>
            </w:r>
            <w:proofErr w:type="spellEnd"/>
            <w:r w:rsidRPr="00F656F0">
              <w:rPr>
                <w:b/>
                <w:sz w:val="22"/>
                <w:szCs w:val="22"/>
              </w:rPr>
              <w:t xml:space="preserve"> – LGF)</w:t>
            </w:r>
          </w:p>
        </w:tc>
        <w:tc>
          <w:tcPr>
            <w:tcW w:w="2736" w:type="dxa"/>
            <w:shd w:val="clear" w:color="auto" w:fill="C5E0B3" w:themeFill="accent6" w:themeFillTint="66"/>
          </w:tcPr>
          <w:p w:rsidR="0090748B" w:rsidRDefault="00F656F0" w:rsidP="003F7A17">
            <w:pPr>
              <w:pStyle w:val="ListeParagraf"/>
              <w:numPr>
                <w:ilvl w:val="0"/>
                <w:numId w:val="9"/>
              </w:numPr>
              <w:ind w:left="231" w:hanging="231"/>
              <w:rPr>
                <w:sz w:val="22"/>
                <w:szCs w:val="22"/>
              </w:rPr>
            </w:pPr>
            <w:r w:rsidRPr="003F7A17">
              <w:rPr>
                <w:sz w:val="22"/>
                <w:szCs w:val="22"/>
              </w:rPr>
              <w:t>KOBİ’lere kredi sunma veya leasing faaliyetlerinde bulunmaya yetkili finans veya kredi kuruluşları ve kredi fonları</w:t>
            </w:r>
          </w:p>
          <w:p w:rsidR="00F656F0" w:rsidRPr="003F7A17" w:rsidRDefault="00F656F0" w:rsidP="003F7A17">
            <w:pPr>
              <w:pStyle w:val="ListeParagraf"/>
              <w:numPr>
                <w:ilvl w:val="0"/>
                <w:numId w:val="9"/>
              </w:numPr>
              <w:ind w:left="231" w:hanging="231"/>
              <w:rPr>
                <w:sz w:val="22"/>
                <w:szCs w:val="22"/>
              </w:rPr>
            </w:pPr>
            <w:r w:rsidRPr="00F656F0">
              <w:rPr>
                <w:sz w:val="22"/>
                <w:szCs w:val="22"/>
              </w:rPr>
              <w:t>KOBİ’lere garanti sunmaya yetkili garanti kuruluşları, kredi veya finansman kuruluşları.</w:t>
            </w:r>
          </w:p>
        </w:tc>
        <w:tc>
          <w:tcPr>
            <w:tcW w:w="2346" w:type="dxa"/>
            <w:shd w:val="clear" w:color="auto" w:fill="C5E0B3" w:themeFill="accent6" w:themeFillTint="66"/>
          </w:tcPr>
          <w:p w:rsidR="0090748B" w:rsidRPr="00995920" w:rsidRDefault="00F656F0" w:rsidP="005061DE">
            <w:pPr>
              <w:rPr>
                <w:sz w:val="22"/>
                <w:szCs w:val="22"/>
              </w:rPr>
            </w:pPr>
            <w:r w:rsidRPr="00F656F0">
              <w:rPr>
                <w:sz w:val="22"/>
                <w:szCs w:val="22"/>
              </w:rPr>
              <w:t xml:space="preserve">COSME Programı Kredi Garanti Desteği için 2014 – 2020 döneminde ayrılan toplam bütçe yaklaşık 740 milyon </w:t>
            </w:r>
            <w:proofErr w:type="spellStart"/>
            <w:r w:rsidRPr="00F656F0">
              <w:rPr>
                <w:sz w:val="22"/>
                <w:szCs w:val="22"/>
              </w:rPr>
              <w:t>Avro’dur</w:t>
            </w:r>
            <w:proofErr w:type="spellEnd"/>
            <w:r>
              <w:rPr>
                <w:sz w:val="22"/>
                <w:szCs w:val="22"/>
              </w:rPr>
              <w:t>.</w:t>
            </w:r>
          </w:p>
        </w:tc>
        <w:tc>
          <w:tcPr>
            <w:tcW w:w="3756" w:type="dxa"/>
            <w:shd w:val="clear" w:color="auto" w:fill="C5E0B3" w:themeFill="accent6" w:themeFillTint="66"/>
          </w:tcPr>
          <w:p w:rsidR="0090748B" w:rsidRDefault="00F656F0" w:rsidP="005061DE">
            <w:pPr>
              <w:rPr>
                <w:sz w:val="22"/>
                <w:szCs w:val="22"/>
              </w:rPr>
            </w:pPr>
            <w:r w:rsidRPr="00F656F0">
              <w:rPr>
                <w:sz w:val="22"/>
                <w:szCs w:val="22"/>
              </w:rPr>
              <w:t xml:space="preserve">COSME Programı </w:t>
            </w:r>
            <w:proofErr w:type="spellStart"/>
            <w:r w:rsidRPr="00F656F0">
              <w:rPr>
                <w:sz w:val="22"/>
                <w:szCs w:val="22"/>
              </w:rPr>
              <w:t>LGF’ye</w:t>
            </w:r>
            <w:proofErr w:type="spellEnd"/>
            <w:r w:rsidRPr="00F656F0">
              <w:rPr>
                <w:sz w:val="22"/>
                <w:szCs w:val="22"/>
              </w:rPr>
              <w:t xml:space="preserve"> başvurmak isteyen finansal kuruluşlar, EIF web sitesinde yer alan Niyet Beyanı </w:t>
            </w:r>
            <w:proofErr w:type="gramStart"/>
            <w:r w:rsidRPr="00F656F0">
              <w:rPr>
                <w:sz w:val="22"/>
                <w:szCs w:val="22"/>
              </w:rPr>
              <w:t>Çağrısındaki  gerekli</w:t>
            </w:r>
            <w:proofErr w:type="gramEnd"/>
            <w:r w:rsidRPr="00F656F0">
              <w:rPr>
                <w:sz w:val="22"/>
                <w:szCs w:val="22"/>
              </w:rPr>
              <w:t xml:space="preserve"> adımları takip ederek 30 Eylül 2020 tarihine kadar başvurularını yapabilir. Başvurularla ilgili değerlendirmeler başvuru tarihine göre öncelik sırasına göre gerçekleştirilmektedir.</w:t>
            </w:r>
          </w:p>
          <w:p w:rsidR="001B3D08" w:rsidRDefault="001B3D08" w:rsidP="005061DE">
            <w:pPr>
              <w:rPr>
                <w:sz w:val="22"/>
                <w:szCs w:val="22"/>
              </w:rPr>
            </w:pPr>
          </w:p>
          <w:p w:rsidR="001B3D08" w:rsidRPr="00995920" w:rsidRDefault="001B3D08" w:rsidP="005061DE">
            <w:pPr>
              <w:rPr>
                <w:sz w:val="22"/>
                <w:szCs w:val="22"/>
              </w:rPr>
            </w:pPr>
            <w:r>
              <w:rPr>
                <w:sz w:val="22"/>
                <w:szCs w:val="22"/>
              </w:rPr>
              <w:t xml:space="preserve">Detaylı Bilgi için EIF web sitesi: </w:t>
            </w:r>
            <w:hyperlink r:id="rId6" w:history="1">
              <w:r w:rsidRPr="007E6A07">
                <w:rPr>
                  <w:rStyle w:val="Kpr"/>
                  <w:sz w:val="22"/>
                  <w:szCs w:val="22"/>
                </w:rPr>
                <w:t>https://bit.ly/2Yw9qau</w:t>
              </w:r>
            </w:hyperlink>
            <w:r>
              <w:rPr>
                <w:sz w:val="22"/>
                <w:szCs w:val="22"/>
              </w:rPr>
              <w:t xml:space="preserve"> </w:t>
            </w:r>
          </w:p>
        </w:tc>
      </w:tr>
      <w:tr w:rsidR="0090748B" w:rsidRPr="00995920" w:rsidTr="00F4630A">
        <w:tc>
          <w:tcPr>
            <w:tcW w:w="1977" w:type="dxa"/>
            <w:shd w:val="clear" w:color="auto" w:fill="C5E0B3" w:themeFill="accent6" w:themeFillTint="66"/>
          </w:tcPr>
          <w:p w:rsidR="0090748B" w:rsidRPr="00995920" w:rsidRDefault="0090748B" w:rsidP="005061DE">
            <w:pPr>
              <w:rPr>
                <w:b/>
                <w:sz w:val="22"/>
                <w:szCs w:val="22"/>
              </w:rPr>
            </w:pPr>
            <w:r w:rsidRPr="0090748B">
              <w:rPr>
                <w:b/>
                <w:sz w:val="22"/>
                <w:szCs w:val="22"/>
              </w:rPr>
              <w:lastRenderedPageBreak/>
              <w:t>COSME</w:t>
            </w:r>
          </w:p>
        </w:tc>
        <w:tc>
          <w:tcPr>
            <w:tcW w:w="3179" w:type="dxa"/>
            <w:shd w:val="clear" w:color="auto" w:fill="C5E0B3" w:themeFill="accent6" w:themeFillTint="66"/>
          </w:tcPr>
          <w:p w:rsidR="0090748B" w:rsidRPr="00995920" w:rsidRDefault="00F656F0" w:rsidP="005061DE">
            <w:pPr>
              <w:rPr>
                <w:b/>
                <w:sz w:val="22"/>
                <w:szCs w:val="22"/>
              </w:rPr>
            </w:pPr>
            <w:r w:rsidRPr="00F656F0">
              <w:rPr>
                <w:b/>
                <w:sz w:val="22"/>
                <w:szCs w:val="22"/>
              </w:rPr>
              <w:t xml:space="preserve">Büyüme Amaçlı </w:t>
            </w:r>
            <w:proofErr w:type="spellStart"/>
            <w:r w:rsidRPr="00F656F0">
              <w:rPr>
                <w:b/>
                <w:sz w:val="22"/>
                <w:szCs w:val="22"/>
              </w:rPr>
              <w:t>Özkaynak</w:t>
            </w:r>
            <w:proofErr w:type="spellEnd"/>
            <w:r w:rsidRPr="00F656F0">
              <w:rPr>
                <w:b/>
                <w:sz w:val="22"/>
                <w:szCs w:val="22"/>
              </w:rPr>
              <w:t xml:space="preserve"> Desteği (</w:t>
            </w:r>
            <w:proofErr w:type="spellStart"/>
            <w:r w:rsidRPr="00F656F0">
              <w:rPr>
                <w:b/>
                <w:sz w:val="22"/>
                <w:szCs w:val="22"/>
              </w:rPr>
              <w:t>Equity</w:t>
            </w:r>
            <w:proofErr w:type="spellEnd"/>
            <w:r w:rsidRPr="00F656F0">
              <w:rPr>
                <w:b/>
                <w:sz w:val="22"/>
                <w:szCs w:val="22"/>
              </w:rPr>
              <w:t xml:space="preserve"> </w:t>
            </w:r>
            <w:proofErr w:type="spellStart"/>
            <w:r w:rsidRPr="00F656F0">
              <w:rPr>
                <w:b/>
                <w:sz w:val="22"/>
                <w:szCs w:val="22"/>
              </w:rPr>
              <w:t>Facility</w:t>
            </w:r>
            <w:proofErr w:type="spellEnd"/>
            <w:r w:rsidRPr="00F656F0">
              <w:rPr>
                <w:b/>
                <w:sz w:val="22"/>
                <w:szCs w:val="22"/>
              </w:rPr>
              <w:t xml:space="preserve"> </w:t>
            </w:r>
            <w:proofErr w:type="spellStart"/>
            <w:r w:rsidRPr="00F656F0">
              <w:rPr>
                <w:b/>
                <w:sz w:val="22"/>
                <w:szCs w:val="22"/>
              </w:rPr>
              <w:t>for</w:t>
            </w:r>
            <w:proofErr w:type="spellEnd"/>
            <w:r w:rsidRPr="00F656F0">
              <w:rPr>
                <w:b/>
                <w:sz w:val="22"/>
                <w:szCs w:val="22"/>
              </w:rPr>
              <w:t xml:space="preserve"> </w:t>
            </w:r>
            <w:proofErr w:type="spellStart"/>
            <w:r w:rsidRPr="00F656F0">
              <w:rPr>
                <w:b/>
                <w:sz w:val="22"/>
                <w:szCs w:val="22"/>
              </w:rPr>
              <w:t>Growth</w:t>
            </w:r>
            <w:proofErr w:type="spellEnd"/>
            <w:r w:rsidRPr="00F656F0">
              <w:rPr>
                <w:b/>
                <w:sz w:val="22"/>
                <w:szCs w:val="22"/>
              </w:rPr>
              <w:t xml:space="preserve"> – EFG)</w:t>
            </w:r>
          </w:p>
        </w:tc>
        <w:tc>
          <w:tcPr>
            <w:tcW w:w="2736" w:type="dxa"/>
            <w:shd w:val="clear" w:color="auto" w:fill="C5E0B3" w:themeFill="accent6" w:themeFillTint="66"/>
          </w:tcPr>
          <w:p w:rsidR="00F656F0" w:rsidRPr="00F656F0" w:rsidRDefault="00F656F0" w:rsidP="003F7A17">
            <w:pPr>
              <w:pStyle w:val="ListeParagraf"/>
              <w:numPr>
                <w:ilvl w:val="0"/>
                <w:numId w:val="9"/>
              </w:numPr>
              <w:ind w:left="231" w:hanging="231"/>
              <w:rPr>
                <w:sz w:val="22"/>
                <w:szCs w:val="22"/>
              </w:rPr>
            </w:pPr>
            <w:r w:rsidRPr="00F656F0">
              <w:rPr>
                <w:sz w:val="22"/>
                <w:szCs w:val="22"/>
              </w:rPr>
              <w:t xml:space="preserve">Uzun dönemli sermaye ve/veya gelir katılımı gibi benzeri finansman </w:t>
            </w:r>
            <w:proofErr w:type="gramStart"/>
            <w:r w:rsidRPr="00F656F0">
              <w:rPr>
                <w:sz w:val="22"/>
                <w:szCs w:val="22"/>
              </w:rPr>
              <w:t>imkanları</w:t>
            </w:r>
            <w:proofErr w:type="gramEnd"/>
            <w:r w:rsidRPr="00F656F0">
              <w:rPr>
                <w:sz w:val="22"/>
                <w:szCs w:val="22"/>
              </w:rPr>
              <w:t xml:space="preserve"> sağlamak,</w:t>
            </w:r>
          </w:p>
          <w:p w:rsidR="0090748B" w:rsidRPr="00995920" w:rsidRDefault="00F656F0" w:rsidP="003F7A17">
            <w:pPr>
              <w:pStyle w:val="ListeParagraf"/>
              <w:numPr>
                <w:ilvl w:val="0"/>
                <w:numId w:val="9"/>
              </w:numPr>
              <w:ind w:left="231" w:hanging="231"/>
              <w:rPr>
                <w:sz w:val="22"/>
                <w:szCs w:val="22"/>
              </w:rPr>
            </w:pPr>
            <w:r>
              <w:rPr>
                <w:sz w:val="22"/>
                <w:szCs w:val="22"/>
              </w:rPr>
              <w:t>Y</w:t>
            </w:r>
            <w:r w:rsidRPr="00F656F0">
              <w:rPr>
                <w:sz w:val="22"/>
                <w:szCs w:val="22"/>
              </w:rPr>
              <w:t>atırımlarının en az %50’sini büyüme ve gelişme aşamasındaki KOBİ’lere yapmayı taahhüt etmek,</w:t>
            </w:r>
          </w:p>
        </w:tc>
        <w:tc>
          <w:tcPr>
            <w:tcW w:w="2346" w:type="dxa"/>
            <w:shd w:val="clear" w:color="auto" w:fill="C5E0B3" w:themeFill="accent6" w:themeFillTint="66"/>
          </w:tcPr>
          <w:p w:rsidR="0090748B" w:rsidRPr="00995920" w:rsidRDefault="00F656F0" w:rsidP="005061DE">
            <w:pPr>
              <w:rPr>
                <w:sz w:val="22"/>
                <w:szCs w:val="22"/>
              </w:rPr>
            </w:pPr>
            <w:r w:rsidRPr="00F656F0">
              <w:rPr>
                <w:sz w:val="22"/>
                <w:szCs w:val="22"/>
              </w:rPr>
              <w:t xml:space="preserve">COSME Büyüme Amaçlı </w:t>
            </w:r>
            <w:proofErr w:type="spellStart"/>
            <w:r w:rsidRPr="00F656F0">
              <w:rPr>
                <w:sz w:val="22"/>
                <w:szCs w:val="22"/>
              </w:rPr>
              <w:t>Özkaynak</w:t>
            </w:r>
            <w:proofErr w:type="spellEnd"/>
            <w:r w:rsidRPr="00F656F0">
              <w:rPr>
                <w:sz w:val="22"/>
                <w:szCs w:val="22"/>
              </w:rPr>
              <w:t xml:space="preserve"> Desteği için 2014 – 2020 döneminde ayrılan toplam bütçe yaklaşık 690 milyon </w:t>
            </w:r>
            <w:proofErr w:type="spellStart"/>
            <w:r w:rsidRPr="00F656F0">
              <w:rPr>
                <w:sz w:val="22"/>
                <w:szCs w:val="22"/>
              </w:rPr>
              <w:t>Avro’dur</w:t>
            </w:r>
            <w:proofErr w:type="spellEnd"/>
          </w:p>
        </w:tc>
        <w:tc>
          <w:tcPr>
            <w:tcW w:w="3756" w:type="dxa"/>
            <w:shd w:val="clear" w:color="auto" w:fill="C5E0B3" w:themeFill="accent6" w:themeFillTint="66"/>
          </w:tcPr>
          <w:p w:rsidR="0090748B" w:rsidRDefault="00E567B5" w:rsidP="005061DE">
            <w:pPr>
              <w:rPr>
                <w:sz w:val="22"/>
                <w:szCs w:val="22"/>
              </w:rPr>
            </w:pPr>
            <w:r w:rsidRPr="00E567B5">
              <w:rPr>
                <w:sz w:val="22"/>
                <w:szCs w:val="22"/>
              </w:rPr>
              <w:t xml:space="preserve">COSME Programı </w:t>
            </w:r>
            <w:proofErr w:type="spellStart"/>
            <w:r w:rsidRPr="00E567B5">
              <w:rPr>
                <w:sz w:val="22"/>
                <w:szCs w:val="22"/>
              </w:rPr>
              <w:t>EGF’ye</w:t>
            </w:r>
            <w:proofErr w:type="spellEnd"/>
            <w:r w:rsidRPr="00E567B5">
              <w:rPr>
                <w:sz w:val="22"/>
                <w:szCs w:val="22"/>
              </w:rPr>
              <w:t xml:space="preserve"> başvurmak isteyen finansal kuruluşlar, EIF web sitesinde yer alan Niyet Beyanı Çağrısındaki gerekli adımları takip ederek 30 Eylül 2020 tarihine kadar başvurularını yapabilir. Başvurularla ilgili değerlendirmeler başvuru tarihine göre öncelik sırasına göre gerçekleştirilmektedir.</w:t>
            </w:r>
          </w:p>
          <w:p w:rsidR="001B3D08" w:rsidRDefault="001B3D08" w:rsidP="005061DE">
            <w:pPr>
              <w:rPr>
                <w:sz w:val="22"/>
                <w:szCs w:val="22"/>
              </w:rPr>
            </w:pPr>
          </w:p>
          <w:p w:rsidR="001B3D08" w:rsidRPr="00995920" w:rsidRDefault="001B3D08" w:rsidP="005061DE">
            <w:pPr>
              <w:rPr>
                <w:sz w:val="22"/>
                <w:szCs w:val="22"/>
              </w:rPr>
            </w:pPr>
            <w:r>
              <w:rPr>
                <w:sz w:val="22"/>
                <w:szCs w:val="22"/>
              </w:rPr>
              <w:t xml:space="preserve">Detaylı Bilgi için EIF web sitesi: </w:t>
            </w:r>
            <w:hyperlink r:id="rId7" w:history="1">
              <w:r w:rsidRPr="007E6A07">
                <w:rPr>
                  <w:rStyle w:val="Kpr"/>
                  <w:sz w:val="22"/>
                  <w:szCs w:val="22"/>
                </w:rPr>
                <w:t>https://bit.ly/2E5CgVL</w:t>
              </w:r>
            </w:hyperlink>
            <w:r>
              <w:rPr>
                <w:sz w:val="22"/>
                <w:szCs w:val="22"/>
              </w:rPr>
              <w:t xml:space="preserve"> </w:t>
            </w:r>
          </w:p>
        </w:tc>
      </w:tr>
    </w:tbl>
    <w:p w:rsidR="009B0B01" w:rsidRPr="00F4630A" w:rsidRDefault="009B0B01"/>
    <w:p w:rsidR="009B0B01" w:rsidRPr="00F4630A" w:rsidRDefault="009B0B01"/>
    <w:p w:rsidR="009B0B01" w:rsidRPr="00F4630A" w:rsidRDefault="009B0B01"/>
    <w:p w:rsidR="009B0B01" w:rsidRPr="00F4630A" w:rsidRDefault="009B0B01"/>
    <w:p w:rsidR="009B0B01" w:rsidRPr="00F4630A" w:rsidRDefault="009B0B01"/>
    <w:sectPr w:rsidR="009B0B01" w:rsidRPr="00F4630A" w:rsidSect="009B0B0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7429"/>
    <w:multiLevelType w:val="hybridMultilevel"/>
    <w:tmpl w:val="4572B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619E1"/>
    <w:multiLevelType w:val="multilevel"/>
    <w:tmpl w:val="0E22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3284C"/>
    <w:multiLevelType w:val="hybridMultilevel"/>
    <w:tmpl w:val="5728FB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8AA3FDD"/>
    <w:multiLevelType w:val="hybridMultilevel"/>
    <w:tmpl w:val="E3CED43A"/>
    <w:lvl w:ilvl="0" w:tplc="5F8861A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644A11"/>
    <w:multiLevelType w:val="multilevel"/>
    <w:tmpl w:val="5AD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31965"/>
    <w:multiLevelType w:val="hybridMultilevel"/>
    <w:tmpl w:val="4836CE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94A0AFD"/>
    <w:multiLevelType w:val="hybridMultilevel"/>
    <w:tmpl w:val="6284F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333818"/>
    <w:multiLevelType w:val="multilevel"/>
    <w:tmpl w:val="450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944DE"/>
    <w:multiLevelType w:val="hybridMultilevel"/>
    <w:tmpl w:val="E608429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1"/>
  </w:num>
  <w:num w:numId="5">
    <w:abstractNumId w:val="5"/>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01"/>
    <w:rsid w:val="00021913"/>
    <w:rsid w:val="001159F9"/>
    <w:rsid w:val="001270FB"/>
    <w:rsid w:val="001B3D08"/>
    <w:rsid w:val="001D4DE8"/>
    <w:rsid w:val="0021498C"/>
    <w:rsid w:val="00255D40"/>
    <w:rsid w:val="003176B3"/>
    <w:rsid w:val="003F7A17"/>
    <w:rsid w:val="00421CEB"/>
    <w:rsid w:val="0049450D"/>
    <w:rsid w:val="004C0095"/>
    <w:rsid w:val="005061DE"/>
    <w:rsid w:val="005330E7"/>
    <w:rsid w:val="006F6588"/>
    <w:rsid w:val="00756C60"/>
    <w:rsid w:val="00770657"/>
    <w:rsid w:val="00771C9D"/>
    <w:rsid w:val="008628E4"/>
    <w:rsid w:val="00874404"/>
    <w:rsid w:val="00896270"/>
    <w:rsid w:val="0090748B"/>
    <w:rsid w:val="00995920"/>
    <w:rsid w:val="009B0B01"/>
    <w:rsid w:val="009B685E"/>
    <w:rsid w:val="009C2A40"/>
    <w:rsid w:val="009F070D"/>
    <w:rsid w:val="00AC02C7"/>
    <w:rsid w:val="00B01293"/>
    <w:rsid w:val="00B322E3"/>
    <w:rsid w:val="00C7654B"/>
    <w:rsid w:val="00D02DDC"/>
    <w:rsid w:val="00D202F9"/>
    <w:rsid w:val="00D66471"/>
    <w:rsid w:val="00E567B5"/>
    <w:rsid w:val="00F05A54"/>
    <w:rsid w:val="00F37BF0"/>
    <w:rsid w:val="00F4630A"/>
    <w:rsid w:val="00F656F0"/>
    <w:rsid w:val="00F67C5D"/>
    <w:rsid w:val="00F72FC8"/>
    <w:rsid w:val="00FD28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A756"/>
  <w15:docId w15:val="{B3DE9594-7A0F-4F99-81A5-6C3889B0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E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012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0B01"/>
    <w:rPr>
      <w:color w:val="0563C1" w:themeColor="hyperlink"/>
      <w:u w:val="single"/>
    </w:rPr>
  </w:style>
  <w:style w:type="paragraph" w:styleId="ListeParagraf">
    <w:name w:val="List Paragraph"/>
    <w:basedOn w:val="Normal"/>
    <w:uiPriority w:val="34"/>
    <w:qFormat/>
    <w:rsid w:val="00021913"/>
    <w:pPr>
      <w:ind w:left="720"/>
      <w:contextualSpacing/>
    </w:pPr>
  </w:style>
  <w:style w:type="paragraph" w:styleId="NormalWeb">
    <w:name w:val="Normal (Web)"/>
    <w:basedOn w:val="Normal"/>
    <w:uiPriority w:val="99"/>
    <w:semiHidden/>
    <w:unhideWhenUsed/>
    <w:rsid w:val="00421CEB"/>
    <w:pPr>
      <w:spacing w:before="100" w:beforeAutospacing="1" w:after="100" w:afterAutospacing="1"/>
    </w:pPr>
  </w:style>
  <w:style w:type="character" w:styleId="Vurgu">
    <w:name w:val="Emphasis"/>
    <w:basedOn w:val="VarsaylanParagrafYazTipi"/>
    <w:uiPriority w:val="20"/>
    <w:qFormat/>
    <w:rsid w:val="00421CEB"/>
    <w:rPr>
      <w:i/>
      <w:iCs/>
    </w:rPr>
  </w:style>
  <w:style w:type="character" w:customStyle="1" w:styleId="Balk1Char">
    <w:name w:val="Başlık 1 Char"/>
    <w:basedOn w:val="VarsaylanParagrafYazTipi"/>
    <w:link w:val="Balk1"/>
    <w:uiPriority w:val="9"/>
    <w:rsid w:val="00B01293"/>
    <w:rPr>
      <w:rFonts w:asciiTheme="majorHAnsi" w:eastAsiaTheme="majorEastAsia" w:hAnsiTheme="majorHAnsi" w:cstheme="majorBidi"/>
      <w:color w:val="2E74B5" w:themeColor="accent1" w:themeShade="BF"/>
      <w:sz w:val="32"/>
      <w:szCs w:val="32"/>
      <w:lang w:eastAsia="tr-TR"/>
    </w:rPr>
  </w:style>
  <w:style w:type="paragraph" w:styleId="KonuBal">
    <w:name w:val="Title"/>
    <w:basedOn w:val="Normal"/>
    <w:next w:val="Normal"/>
    <w:link w:val="KonuBalChar"/>
    <w:uiPriority w:val="10"/>
    <w:qFormat/>
    <w:rsid w:val="00B0129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01293"/>
    <w:rPr>
      <w:rFonts w:asciiTheme="majorHAnsi" w:eastAsiaTheme="majorEastAsia" w:hAnsiTheme="majorHAnsi" w:cstheme="majorBidi"/>
      <w:spacing w:val="-10"/>
      <w:kern w:val="28"/>
      <w:sz w:val="56"/>
      <w:szCs w:val="56"/>
      <w:lang w:eastAsia="tr-TR"/>
    </w:rPr>
  </w:style>
  <w:style w:type="paragraph" w:styleId="HTMLncedenBiimlendirilmi">
    <w:name w:val="HTML Preformatted"/>
    <w:basedOn w:val="Normal"/>
    <w:link w:val="HTMLncedenBiimlendirilmiChar"/>
    <w:uiPriority w:val="99"/>
    <w:semiHidden/>
    <w:unhideWhenUsed/>
    <w:rsid w:val="00C76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7654B"/>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F656F0"/>
    <w:rPr>
      <w:rFonts w:ascii="Tahoma" w:hAnsi="Tahoma" w:cs="Tahoma"/>
      <w:sz w:val="16"/>
      <w:szCs w:val="16"/>
    </w:rPr>
  </w:style>
  <w:style w:type="character" w:customStyle="1" w:styleId="BalonMetniChar">
    <w:name w:val="Balon Metni Char"/>
    <w:basedOn w:val="VarsaylanParagrafYazTipi"/>
    <w:link w:val="BalonMetni"/>
    <w:uiPriority w:val="99"/>
    <w:semiHidden/>
    <w:rsid w:val="00F656F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1863">
      <w:bodyDiv w:val="1"/>
      <w:marLeft w:val="0"/>
      <w:marRight w:val="0"/>
      <w:marTop w:val="0"/>
      <w:marBottom w:val="0"/>
      <w:divBdr>
        <w:top w:val="none" w:sz="0" w:space="0" w:color="auto"/>
        <w:left w:val="none" w:sz="0" w:space="0" w:color="auto"/>
        <w:bottom w:val="none" w:sz="0" w:space="0" w:color="auto"/>
        <w:right w:val="none" w:sz="0" w:space="0" w:color="auto"/>
      </w:divBdr>
    </w:div>
    <w:div w:id="887843185">
      <w:bodyDiv w:val="1"/>
      <w:marLeft w:val="0"/>
      <w:marRight w:val="0"/>
      <w:marTop w:val="0"/>
      <w:marBottom w:val="0"/>
      <w:divBdr>
        <w:top w:val="none" w:sz="0" w:space="0" w:color="auto"/>
        <w:left w:val="none" w:sz="0" w:space="0" w:color="auto"/>
        <w:bottom w:val="none" w:sz="0" w:space="0" w:color="auto"/>
        <w:right w:val="none" w:sz="0" w:space="0" w:color="auto"/>
      </w:divBdr>
    </w:div>
    <w:div w:id="1017853707">
      <w:bodyDiv w:val="1"/>
      <w:marLeft w:val="0"/>
      <w:marRight w:val="0"/>
      <w:marTop w:val="0"/>
      <w:marBottom w:val="0"/>
      <w:divBdr>
        <w:top w:val="none" w:sz="0" w:space="0" w:color="auto"/>
        <w:left w:val="none" w:sz="0" w:space="0" w:color="auto"/>
        <w:bottom w:val="none" w:sz="0" w:space="0" w:color="auto"/>
        <w:right w:val="none" w:sz="0" w:space="0" w:color="auto"/>
      </w:divBdr>
    </w:div>
    <w:div w:id="1063672996">
      <w:bodyDiv w:val="1"/>
      <w:marLeft w:val="0"/>
      <w:marRight w:val="0"/>
      <w:marTop w:val="0"/>
      <w:marBottom w:val="0"/>
      <w:divBdr>
        <w:top w:val="none" w:sz="0" w:space="0" w:color="auto"/>
        <w:left w:val="none" w:sz="0" w:space="0" w:color="auto"/>
        <w:bottom w:val="none" w:sz="0" w:space="0" w:color="auto"/>
        <w:right w:val="none" w:sz="0" w:space="0" w:color="auto"/>
      </w:divBdr>
    </w:div>
    <w:div w:id="1292446184">
      <w:bodyDiv w:val="1"/>
      <w:marLeft w:val="0"/>
      <w:marRight w:val="0"/>
      <w:marTop w:val="0"/>
      <w:marBottom w:val="0"/>
      <w:divBdr>
        <w:top w:val="none" w:sz="0" w:space="0" w:color="auto"/>
        <w:left w:val="none" w:sz="0" w:space="0" w:color="auto"/>
        <w:bottom w:val="none" w:sz="0" w:space="0" w:color="auto"/>
        <w:right w:val="none" w:sz="0" w:space="0" w:color="auto"/>
      </w:divBdr>
    </w:div>
    <w:div w:id="16753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E5CgV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Yw9qau" TargetMode="External"/><Relationship Id="rId5" Type="http://schemas.openxmlformats.org/officeDocument/2006/relationships/hyperlink" Target="https://ec.europa.eu/easme/en/section/cosme/cos-circfash-2019-3-02-innovation-applications-sustainable-and-circular-fashion-indust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Burce Uygur</dc:creator>
  <cp:lastModifiedBy>Metin Esen</cp:lastModifiedBy>
  <cp:revision>3</cp:revision>
  <dcterms:created xsi:type="dcterms:W3CDTF">2019-12-10T13:24:00Z</dcterms:created>
  <dcterms:modified xsi:type="dcterms:W3CDTF">2019-12-19T13:18:00Z</dcterms:modified>
</cp:coreProperties>
</file>