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9D9D" w14:textId="77777777" w:rsidR="00D02DDC" w:rsidRPr="007D7CF8" w:rsidRDefault="009B0B01" w:rsidP="00B01293">
      <w:pPr>
        <w:pStyle w:val="KonuBal"/>
        <w:jc w:val="center"/>
        <w:rPr>
          <w:rFonts w:ascii="Times New Roman" w:hAnsi="Times New Roman" w:cs="Times New Roman"/>
          <w:b/>
          <w:color w:val="1F3864" w:themeColor="accent5" w:themeShade="80"/>
        </w:rPr>
      </w:pPr>
      <w:r w:rsidRPr="007D7CF8">
        <w:rPr>
          <w:rFonts w:ascii="Times New Roman" w:hAnsi="Times New Roman" w:cs="Times New Roman"/>
          <w:b/>
          <w:color w:val="1F3864" w:themeColor="accent5" w:themeShade="80"/>
        </w:rPr>
        <w:t>BİRLİK PROGRAMLARI AÇIK ÇAĞRILAR</w:t>
      </w:r>
      <w:r w:rsidR="005D452E" w:rsidRPr="007D7CF8">
        <w:rPr>
          <w:rStyle w:val="DipnotBavurusu"/>
          <w:rFonts w:ascii="Times New Roman" w:hAnsi="Times New Roman" w:cs="Times New Roman"/>
          <w:b/>
          <w:color w:val="1F3864" w:themeColor="accent5" w:themeShade="80"/>
        </w:rPr>
        <w:footnoteReference w:id="1"/>
      </w:r>
    </w:p>
    <w:p w14:paraId="1CC66874" w14:textId="77777777" w:rsidR="009B0B01" w:rsidRPr="007D7CF8" w:rsidRDefault="009B0B01"/>
    <w:tbl>
      <w:tblPr>
        <w:tblStyle w:val="TabloKlavuzu"/>
        <w:tblW w:w="0" w:type="auto"/>
        <w:tblLook w:val="04A0" w:firstRow="1" w:lastRow="0" w:firstColumn="1" w:lastColumn="0" w:noHBand="0" w:noVBand="1"/>
      </w:tblPr>
      <w:tblGrid>
        <w:gridCol w:w="1975"/>
        <w:gridCol w:w="3174"/>
        <w:gridCol w:w="2748"/>
        <w:gridCol w:w="2343"/>
        <w:gridCol w:w="3754"/>
      </w:tblGrid>
      <w:tr w:rsidR="00B01293" w:rsidRPr="007D7CF8" w14:paraId="0E6FEDAB" w14:textId="77777777" w:rsidTr="00510B70">
        <w:tc>
          <w:tcPr>
            <w:tcW w:w="1975" w:type="dxa"/>
            <w:shd w:val="clear" w:color="auto" w:fill="1F3864" w:themeFill="accent5" w:themeFillShade="80"/>
          </w:tcPr>
          <w:p w14:paraId="02A1EA82" w14:textId="77777777" w:rsidR="009B0B01" w:rsidRPr="007D7CF8" w:rsidRDefault="009F070D">
            <w:r w:rsidRPr="007D7CF8">
              <w:rPr>
                <w:b/>
              </w:rPr>
              <w:t>Program Adı</w:t>
            </w:r>
          </w:p>
        </w:tc>
        <w:tc>
          <w:tcPr>
            <w:tcW w:w="3174" w:type="dxa"/>
            <w:shd w:val="clear" w:color="auto" w:fill="1F3864" w:themeFill="accent5" w:themeFillShade="80"/>
          </w:tcPr>
          <w:p w14:paraId="18AE31D4" w14:textId="77777777" w:rsidR="009B0B01" w:rsidRPr="007D7CF8" w:rsidRDefault="009B0B01">
            <w:pPr>
              <w:rPr>
                <w:b/>
              </w:rPr>
            </w:pPr>
            <w:r w:rsidRPr="007D7CF8">
              <w:rPr>
                <w:b/>
              </w:rPr>
              <w:t>Çağrı Başlığı ve Amaçlar</w:t>
            </w:r>
          </w:p>
        </w:tc>
        <w:tc>
          <w:tcPr>
            <w:tcW w:w="2748" w:type="dxa"/>
            <w:shd w:val="clear" w:color="auto" w:fill="1F3864" w:themeFill="accent5" w:themeFillShade="80"/>
          </w:tcPr>
          <w:p w14:paraId="6DBA591F" w14:textId="77777777" w:rsidR="009B0B01" w:rsidRPr="007D7CF8" w:rsidRDefault="009B0B01" w:rsidP="009B0B01">
            <w:pPr>
              <w:rPr>
                <w:b/>
              </w:rPr>
            </w:pPr>
            <w:r w:rsidRPr="007D7CF8">
              <w:rPr>
                <w:b/>
              </w:rPr>
              <w:t xml:space="preserve">Uygun Başvuru Sahipleri: </w:t>
            </w:r>
          </w:p>
          <w:p w14:paraId="20F9F991" w14:textId="77777777" w:rsidR="009B0B01" w:rsidRPr="007D7CF8" w:rsidRDefault="009B0B01"/>
        </w:tc>
        <w:tc>
          <w:tcPr>
            <w:tcW w:w="2343" w:type="dxa"/>
            <w:shd w:val="clear" w:color="auto" w:fill="1F3864" w:themeFill="accent5" w:themeFillShade="80"/>
          </w:tcPr>
          <w:p w14:paraId="30E7FA88" w14:textId="77777777" w:rsidR="009B0B01" w:rsidRPr="007D7CF8" w:rsidRDefault="009B0B01" w:rsidP="009B0B01">
            <w:pPr>
              <w:rPr>
                <w:b/>
              </w:rPr>
            </w:pPr>
            <w:r w:rsidRPr="007D7CF8">
              <w:rPr>
                <w:b/>
              </w:rPr>
              <w:t>Finansman:</w:t>
            </w:r>
          </w:p>
          <w:p w14:paraId="4E82F87D" w14:textId="77777777" w:rsidR="009B0B01" w:rsidRPr="007D7CF8" w:rsidRDefault="009B0B01"/>
        </w:tc>
        <w:tc>
          <w:tcPr>
            <w:tcW w:w="3754" w:type="dxa"/>
            <w:shd w:val="clear" w:color="auto" w:fill="1F3864" w:themeFill="accent5" w:themeFillShade="80"/>
          </w:tcPr>
          <w:p w14:paraId="1183BF63" w14:textId="77777777" w:rsidR="009B0B01" w:rsidRPr="007D7CF8" w:rsidRDefault="009B0B01" w:rsidP="009B0B01">
            <w:pPr>
              <w:rPr>
                <w:b/>
              </w:rPr>
            </w:pPr>
            <w:r w:rsidRPr="007D7CF8">
              <w:rPr>
                <w:b/>
              </w:rPr>
              <w:t xml:space="preserve">Son Başvuru Tarihi ve Başvuru </w:t>
            </w:r>
            <w:r w:rsidR="00995920" w:rsidRPr="007D7CF8">
              <w:rPr>
                <w:b/>
              </w:rPr>
              <w:t>Bilgileri</w:t>
            </w:r>
          </w:p>
          <w:p w14:paraId="0651E2A1" w14:textId="77777777" w:rsidR="009B0B01" w:rsidRPr="007D7CF8" w:rsidRDefault="009B0B01"/>
        </w:tc>
      </w:tr>
      <w:tr w:rsidR="00013198" w:rsidRPr="007D7CF8" w14:paraId="4D1665C8" w14:textId="77777777" w:rsidTr="009E2EB9">
        <w:tc>
          <w:tcPr>
            <w:tcW w:w="13994" w:type="dxa"/>
            <w:gridSpan w:val="5"/>
            <w:shd w:val="clear" w:color="auto" w:fill="C5E0B3" w:themeFill="accent6" w:themeFillTint="66"/>
          </w:tcPr>
          <w:p w14:paraId="1730FAE8" w14:textId="08881A81" w:rsidR="00013198" w:rsidRPr="007150E6" w:rsidRDefault="00F94FAE" w:rsidP="005061DE">
            <w:pPr>
              <w:rPr>
                <w:b/>
                <w:bCs/>
                <w:sz w:val="22"/>
                <w:szCs w:val="22"/>
              </w:rPr>
            </w:pPr>
            <w:r w:rsidRPr="007150E6">
              <w:rPr>
                <w:b/>
                <w:bCs/>
                <w:color w:val="FF0000"/>
                <w:sz w:val="22"/>
                <w:szCs w:val="22"/>
              </w:rPr>
              <w:t xml:space="preserve">COSME Programı 2020 bütçesinden </w:t>
            </w:r>
            <w:r w:rsidRPr="007150E6">
              <w:rPr>
                <w:b/>
                <w:bCs/>
                <w:color w:val="FF0000"/>
                <w:sz w:val="22"/>
                <w:szCs w:val="22"/>
                <w:u w:val="single"/>
              </w:rPr>
              <w:t>103 milyon Avroyu aşkın miktar</w:t>
            </w:r>
            <w:r w:rsidR="007150E6" w:rsidRPr="007150E6">
              <w:rPr>
                <w:b/>
                <w:bCs/>
                <w:color w:val="FF0000"/>
                <w:sz w:val="22"/>
                <w:szCs w:val="22"/>
                <w:u w:val="single"/>
              </w:rPr>
              <w:t>da</w:t>
            </w:r>
            <w:r w:rsidRPr="007150E6">
              <w:rPr>
                <w:b/>
                <w:bCs/>
                <w:color w:val="FF0000"/>
                <w:sz w:val="22"/>
                <w:szCs w:val="22"/>
                <w:u w:val="single"/>
              </w:rPr>
              <w:t xml:space="preserve"> hibe</w:t>
            </w:r>
            <w:r w:rsidRPr="007150E6">
              <w:rPr>
                <w:b/>
                <w:bCs/>
                <w:color w:val="FF0000"/>
                <w:sz w:val="22"/>
                <w:szCs w:val="22"/>
              </w:rPr>
              <w:t xml:space="preserve"> olarak tahsis edilmiştir. Bu kapsamda Piyasaya erişim bileşeni için 74 100 000 </w:t>
            </w:r>
            <w:proofErr w:type="gramStart"/>
            <w:r w:rsidRPr="007150E6">
              <w:rPr>
                <w:b/>
                <w:bCs/>
                <w:color w:val="FF0000"/>
                <w:sz w:val="22"/>
                <w:szCs w:val="22"/>
              </w:rPr>
              <w:t>Avro  İşletme</w:t>
            </w:r>
            <w:proofErr w:type="gramEnd"/>
            <w:r w:rsidRPr="007150E6">
              <w:rPr>
                <w:b/>
                <w:bCs/>
                <w:color w:val="FF0000"/>
                <w:sz w:val="22"/>
                <w:szCs w:val="22"/>
              </w:rPr>
              <w:t xml:space="preserve"> kümelenmeleri için 27 250 000 Avro ve Girişimcilik için 1 900 000 Avro tahsis edilmiştir.  Mevcut açık çağrılardan </w:t>
            </w:r>
            <w:r w:rsidRPr="007150E6">
              <w:rPr>
                <w:b/>
                <w:bCs/>
                <w:color w:val="FF0000"/>
                <w:sz w:val="22"/>
                <w:szCs w:val="22"/>
                <w:u w:val="single"/>
              </w:rPr>
              <w:t>1,9 milyon avro hibeye ve 1,43 milyar avro krediye erişim</w:t>
            </w:r>
            <w:r w:rsidRPr="007150E6">
              <w:rPr>
                <w:b/>
                <w:bCs/>
                <w:color w:val="FF0000"/>
                <w:sz w:val="22"/>
                <w:szCs w:val="22"/>
              </w:rPr>
              <w:t xml:space="preserve"> </w:t>
            </w:r>
            <w:proofErr w:type="gramStart"/>
            <w:r w:rsidRPr="007150E6">
              <w:rPr>
                <w:b/>
                <w:bCs/>
                <w:color w:val="FF0000"/>
                <w:sz w:val="22"/>
                <w:szCs w:val="22"/>
              </w:rPr>
              <w:t>imkanı</w:t>
            </w:r>
            <w:proofErr w:type="gramEnd"/>
            <w:r w:rsidRPr="007150E6">
              <w:rPr>
                <w:b/>
                <w:bCs/>
                <w:color w:val="FF0000"/>
                <w:sz w:val="22"/>
                <w:szCs w:val="22"/>
              </w:rPr>
              <w:t xml:space="preserve"> </w:t>
            </w:r>
            <w:r w:rsidR="007150E6" w:rsidRPr="007150E6">
              <w:rPr>
                <w:b/>
                <w:bCs/>
                <w:color w:val="FF0000"/>
                <w:sz w:val="22"/>
                <w:szCs w:val="22"/>
              </w:rPr>
              <w:t xml:space="preserve">vardır. </w:t>
            </w:r>
          </w:p>
        </w:tc>
      </w:tr>
      <w:tr w:rsidR="005061DE" w:rsidRPr="007D7CF8" w14:paraId="15527750" w14:textId="77777777" w:rsidTr="00510B70">
        <w:tc>
          <w:tcPr>
            <w:tcW w:w="1975" w:type="dxa"/>
            <w:shd w:val="clear" w:color="auto" w:fill="C5E0B3" w:themeFill="accent6" w:themeFillTint="66"/>
          </w:tcPr>
          <w:p w14:paraId="061A98E6" w14:textId="77777777" w:rsidR="005061DE" w:rsidRPr="007D7CF8" w:rsidRDefault="005061DE" w:rsidP="005061DE">
            <w:pPr>
              <w:rPr>
                <w:b/>
                <w:sz w:val="22"/>
                <w:szCs w:val="22"/>
              </w:rPr>
            </w:pPr>
            <w:r w:rsidRPr="007D7CF8">
              <w:rPr>
                <w:b/>
                <w:sz w:val="22"/>
                <w:szCs w:val="22"/>
              </w:rPr>
              <w:t>COSME</w:t>
            </w:r>
          </w:p>
        </w:tc>
        <w:tc>
          <w:tcPr>
            <w:tcW w:w="3174" w:type="dxa"/>
            <w:shd w:val="clear" w:color="auto" w:fill="C5E0B3" w:themeFill="accent6" w:themeFillTint="66"/>
          </w:tcPr>
          <w:p w14:paraId="45686282" w14:textId="77777777" w:rsidR="005061DE" w:rsidRPr="007D7CF8" w:rsidRDefault="00BC6B79" w:rsidP="006F6588">
            <w:pPr>
              <w:rPr>
                <w:b/>
                <w:sz w:val="22"/>
                <w:szCs w:val="22"/>
              </w:rPr>
            </w:pPr>
            <w:r w:rsidRPr="007D7CF8">
              <w:rPr>
                <w:b/>
                <w:sz w:val="22"/>
                <w:szCs w:val="22"/>
              </w:rPr>
              <w:t>COS-SEM-2020-4-01: Sosyal Ekonomi Misyonları</w:t>
            </w:r>
          </w:p>
          <w:p w14:paraId="5097DC7C" w14:textId="77777777" w:rsidR="00BC6B79" w:rsidRPr="007D7CF8" w:rsidRDefault="00BC6B79" w:rsidP="006F6588">
            <w:pPr>
              <w:rPr>
                <w:sz w:val="16"/>
                <w:szCs w:val="16"/>
              </w:rPr>
            </w:pPr>
          </w:p>
          <w:p w14:paraId="6CF250EB" w14:textId="77777777" w:rsidR="008E471D" w:rsidRPr="007D7CF8" w:rsidRDefault="008E471D" w:rsidP="006F6588">
            <w:pPr>
              <w:rPr>
                <w:sz w:val="22"/>
                <w:szCs w:val="22"/>
              </w:rPr>
            </w:pPr>
            <w:r w:rsidRPr="007D7CF8">
              <w:rPr>
                <w:color w:val="000000"/>
                <w:sz w:val="22"/>
                <w:szCs w:val="22"/>
              </w:rPr>
              <w:t>Bu çağrının </w:t>
            </w:r>
            <w:r w:rsidRPr="007D7CF8">
              <w:rPr>
                <w:b/>
                <w:bCs/>
                <w:color w:val="000000"/>
                <w:sz w:val="22"/>
                <w:szCs w:val="22"/>
              </w:rPr>
              <w:t xml:space="preserve">hedefi, </w:t>
            </w:r>
            <w:r w:rsidRPr="007D7CF8">
              <w:rPr>
                <w:color w:val="000000"/>
                <w:sz w:val="22"/>
                <w:szCs w:val="22"/>
              </w:rPr>
              <w:t xml:space="preserve">  sosyal ekonomi alanında </w:t>
            </w:r>
            <w:proofErr w:type="gramStart"/>
            <w:r w:rsidRPr="007D7CF8">
              <w:rPr>
                <w:color w:val="000000"/>
                <w:sz w:val="22"/>
                <w:szCs w:val="22"/>
              </w:rPr>
              <w:t>işbirliği  için</w:t>
            </w:r>
            <w:proofErr w:type="gramEnd"/>
            <w:r w:rsidRPr="007D7CF8">
              <w:rPr>
                <w:color w:val="000000"/>
                <w:sz w:val="22"/>
                <w:szCs w:val="22"/>
              </w:rPr>
              <w:t xml:space="preserve"> CoSME Programı katılımcısı ülkelerde kurulan bölgesel ve yerel yönetimler ve benzer sosyal ekonomi önceliklerine sahip paydaşlardan oluşan bir ağ kurmayı ve bölgeler arası öğrenme ve işbirliği için alan yaratmaktır.</w:t>
            </w:r>
          </w:p>
        </w:tc>
        <w:tc>
          <w:tcPr>
            <w:tcW w:w="2748" w:type="dxa"/>
            <w:shd w:val="clear" w:color="auto" w:fill="C5E0B3" w:themeFill="accent6" w:themeFillTint="66"/>
          </w:tcPr>
          <w:p w14:paraId="27173957" w14:textId="77777777" w:rsidR="008E471D" w:rsidRPr="007D7CF8" w:rsidRDefault="005061DE" w:rsidP="005061DE">
            <w:pPr>
              <w:rPr>
                <w:sz w:val="22"/>
                <w:szCs w:val="22"/>
              </w:rPr>
            </w:pPr>
            <w:r w:rsidRPr="007D7CF8">
              <w:rPr>
                <w:sz w:val="22"/>
                <w:szCs w:val="22"/>
              </w:rPr>
              <w:t xml:space="preserve">Konsorsiyumda yer alan başvuru sahipleri tüzel kişi olmalıdır. </w:t>
            </w:r>
          </w:p>
          <w:p w14:paraId="40FF7CB9" w14:textId="77777777" w:rsidR="008E471D" w:rsidRPr="007D7CF8" w:rsidRDefault="008E471D" w:rsidP="005061DE">
            <w:pPr>
              <w:rPr>
                <w:sz w:val="22"/>
                <w:szCs w:val="22"/>
              </w:rPr>
            </w:pPr>
          </w:p>
          <w:p w14:paraId="24608EF0" w14:textId="77777777" w:rsidR="005061DE" w:rsidRPr="007D7CF8" w:rsidRDefault="008E471D" w:rsidP="005061DE">
            <w:pPr>
              <w:rPr>
                <w:sz w:val="22"/>
                <w:szCs w:val="22"/>
              </w:rPr>
            </w:pPr>
            <w:r w:rsidRPr="007D7CF8">
              <w:rPr>
                <w:sz w:val="22"/>
                <w:szCs w:val="22"/>
              </w:rPr>
              <w:t>Başvuru sahibi/</w:t>
            </w:r>
            <w:proofErr w:type="gramStart"/>
            <w:r w:rsidRPr="007D7CF8">
              <w:rPr>
                <w:sz w:val="22"/>
                <w:szCs w:val="22"/>
              </w:rPr>
              <w:t>konsorsiyum</w:t>
            </w:r>
            <w:proofErr w:type="gramEnd"/>
            <w:r w:rsidRPr="007D7CF8">
              <w:rPr>
                <w:sz w:val="22"/>
                <w:szCs w:val="22"/>
              </w:rPr>
              <w:t xml:space="preserve"> lideri</w:t>
            </w:r>
            <w:r w:rsidR="00097C74" w:rsidRPr="007D7CF8">
              <w:rPr>
                <w:sz w:val="22"/>
                <w:szCs w:val="22"/>
              </w:rPr>
              <w:t xml:space="preserve"> </w:t>
            </w:r>
            <w:r w:rsidRPr="007D7CF8">
              <w:rPr>
                <w:sz w:val="22"/>
                <w:szCs w:val="22"/>
              </w:rPr>
              <w:t>bölgesel veya yerel kamu otorıtesı</w:t>
            </w:r>
            <w:r w:rsidR="00097C74" w:rsidRPr="007D7CF8">
              <w:rPr>
                <w:sz w:val="22"/>
                <w:szCs w:val="22"/>
              </w:rPr>
              <w:t xml:space="preserve"> olmalıdır. Proje ortakları da bölgesel veya yerel kamu otorıtesi kurumlardan oluşmalıdır.</w:t>
            </w:r>
            <w:r w:rsidRPr="007D7CF8">
              <w:rPr>
                <w:sz w:val="22"/>
                <w:szCs w:val="22"/>
              </w:rPr>
              <w:t xml:space="preserve"> </w:t>
            </w:r>
            <w:r w:rsidR="00097C74" w:rsidRPr="007D7CF8">
              <w:rPr>
                <w:sz w:val="22"/>
                <w:szCs w:val="22"/>
              </w:rPr>
              <w:t xml:space="preserve">Örneğin: </w:t>
            </w:r>
          </w:p>
          <w:p w14:paraId="27585CD7" w14:textId="77777777" w:rsidR="005061DE" w:rsidRPr="007D7CF8" w:rsidRDefault="00097C74" w:rsidP="00097C74">
            <w:pPr>
              <w:pStyle w:val="ListeParagraf"/>
              <w:numPr>
                <w:ilvl w:val="0"/>
                <w:numId w:val="5"/>
              </w:numPr>
              <w:ind w:left="170" w:hanging="170"/>
              <w:rPr>
                <w:sz w:val="22"/>
                <w:szCs w:val="22"/>
              </w:rPr>
            </w:pPr>
            <w:r w:rsidRPr="007D7CF8">
              <w:rPr>
                <w:sz w:val="22"/>
                <w:szCs w:val="22"/>
              </w:rPr>
              <w:t>Yerel Yönetimler Belediyeler, Valilikler, Kaymakamlıklar vb.</w:t>
            </w:r>
          </w:p>
        </w:tc>
        <w:tc>
          <w:tcPr>
            <w:tcW w:w="2343" w:type="dxa"/>
            <w:shd w:val="clear" w:color="auto" w:fill="C5E0B3" w:themeFill="accent6" w:themeFillTint="66"/>
          </w:tcPr>
          <w:p w14:paraId="03EE5ACF" w14:textId="77777777" w:rsidR="005061DE" w:rsidRPr="007D7CF8" w:rsidRDefault="00097C74" w:rsidP="005061DE">
            <w:pPr>
              <w:rPr>
                <w:sz w:val="22"/>
                <w:szCs w:val="22"/>
              </w:rPr>
            </w:pPr>
            <w:r w:rsidRPr="007D7CF8">
              <w:rPr>
                <w:sz w:val="22"/>
                <w:szCs w:val="22"/>
              </w:rPr>
              <w:t xml:space="preserve">Toplam bütçesi 1.900.000 </w:t>
            </w:r>
            <w:r w:rsidR="00E9384C" w:rsidRPr="007D7CF8">
              <w:rPr>
                <w:sz w:val="22"/>
                <w:szCs w:val="22"/>
              </w:rPr>
              <w:t>A</w:t>
            </w:r>
            <w:r w:rsidRPr="007D7CF8">
              <w:rPr>
                <w:sz w:val="22"/>
                <w:szCs w:val="22"/>
              </w:rPr>
              <w:t xml:space="preserve">vro olan </w:t>
            </w:r>
            <w:r w:rsidR="00E9384C" w:rsidRPr="007D7CF8">
              <w:rPr>
                <w:sz w:val="22"/>
                <w:szCs w:val="22"/>
              </w:rPr>
              <w:t xml:space="preserve">teklıf cağrısında 19 teklifin </w:t>
            </w:r>
            <w:r w:rsidR="005061DE" w:rsidRPr="007D7CF8">
              <w:rPr>
                <w:sz w:val="22"/>
                <w:szCs w:val="22"/>
              </w:rPr>
              <w:t xml:space="preserve">fonlaması beklenmektedir. </w:t>
            </w:r>
          </w:p>
          <w:p w14:paraId="6A1E5B3D" w14:textId="77777777" w:rsidR="00E9384C" w:rsidRPr="007D7CF8" w:rsidRDefault="00E9384C" w:rsidP="005061DE">
            <w:pPr>
              <w:rPr>
                <w:sz w:val="22"/>
                <w:szCs w:val="22"/>
              </w:rPr>
            </w:pPr>
          </w:p>
          <w:p w14:paraId="299F1B2A" w14:textId="77777777" w:rsidR="005061DE" w:rsidRPr="007D7CF8" w:rsidRDefault="005061DE" w:rsidP="005061DE">
            <w:pPr>
              <w:rPr>
                <w:sz w:val="22"/>
                <w:szCs w:val="22"/>
              </w:rPr>
            </w:pPr>
            <w:r w:rsidRPr="007D7CF8">
              <w:rPr>
                <w:sz w:val="22"/>
                <w:szCs w:val="22"/>
              </w:rPr>
              <w:t>Proje başına hibe</w:t>
            </w:r>
            <w:r w:rsidR="00E9384C" w:rsidRPr="007D7CF8">
              <w:rPr>
                <w:sz w:val="22"/>
                <w:szCs w:val="22"/>
              </w:rPr>
              <w:t xml:space="preserve"> miktarı</w:t>
            </w:r>
            <w:r w:rsidRPr="007D7CF8">
              <w:rPr>
                <w:sz w:val="22"/>
                <w:szCs w:val="22"/>
              </w:rPr>
              <w:t xml:space="preserve"> </w:t>
            </w:r>
            <w:r w:rsidR="00E9384C" w:rsidRPr="007D7CF8">
              <w:rPr>
                <w:b/>
                <w:bCs/>
                <w:sz w:val="22"/>
                <w:szCs w:val="22"/>
              </w:rPr>
              <w:t>100.000</w:t>
            </w:r>
            <w:r w:rsidRPr="007D7CF8">
              <w:rPr>
                <w:b/>
                <w:bCs/>
                <w:sz w:val="22"/>
                <w:szCs w:val="22"/>
              </w:rPr>
              <w:t xml:space="preserve"> Avro</w:t>
            </w:r>
            <w:r w:rsidRPr="007D7CF8">
              <w:rPr>
                <w:sz w:val="22"/>
                <w:szCs w:val="22"/>
              </w:rPr>
              <w:t xml:space="preserve">dur. </w:t>
            </w:r>
          </w:p>
          <w:p w14:paraId="57E1D23A" w14:textId="77777777" w:rsidR="005061DE" w:rsidRPr="007D7CF8" w:rsidRDefault="005061DE" w:rsidP="005061DE">
            <w:pPr>
              <w:rPr>
                <w:sz w:val="22"/>
                <w:szCs w:val="22"/>
              </w:rPr>
            </w:pPr>
          </w:p>
          <w:p w14:paraId="0D4AEF36" w14:textId="77777777" w:rsidR="005061DE" w:rsidRPr="007D7CF8" w:rsidRDefault="005061DE" w:rsidP="00F4630A">
            <w:pPr>
              <w:rPr>
                <w:b/>
                <w:sz w:val="22"/>
                <w:szCs w:val="22"/>
              </w:rPr>
            </w:pPr>
          </w:p>
        </w:tc>
        <w:tc>
          <w:tcPr>
            <w:tcW w:w="3754" w:type="dxa"/>
            <w:shd w:val="clear" w:color="auto" w:fill="C5E0B3" w:themeFill="accent6" w:themeFillTint="66"/>
          </w:tcPr>
          <w:p w14:paraId="0EC7B2ED" w14:textId="77777777" w:rsidR="005061DE" w:rsidRPr="007D7CF8" w:rsidRDefault="005061DE" w:rsidP="005061DE">
            <w:pPr>
              <w:rPr>
                <w:sz w:val="22"/>
                <w:szCs w:val="22"/>
              </w:rPr>
            </w:pPr>
            <w:r w:rsidRPr="007D7CF8">
              <w:rPr>
                <w:sz w:val="22"/>
                <w:szCs w:val="22"/>
              </w:rPr>
              <w:t xml:space="preserve">Teklifler elektronik olarak </w:t>
            </w:r>
            <w:r w:rsidR="00097C74" w:rsidRPr="007D7CF8">
              <w:rPr>
                <w:b/>
                <w:bCs/>
                <w:sz w:val="22"/>
                <w:szCs w:val="22"/>
              </w:rPr>
              <w:t>09 Haziran</w:t>
            </w:r>
            <w:r w:rsidRPr="007D7CF8">
              <w:rPr>
                <w:b/>
                <w:sz w:val="22"/>
                <w:szCs w:val="22"/>
              </w:rPr>
              <w:t xml:space="preserve"> 20</w:t>
            </w:r>
            <w:r w:rsidR="00793598" w:rsidRPr="007D7CF8">
              <w:rPr>
                <w:b/>
                <w:sz w:val="22"/>
                <w:szCs w:val="22"/>
              </w:rPr>
              <w:t>20</w:t>
            </w:r>
            <w:r w:rsidRPr="007D7CF8">
              <w:rPr>
                <w:sz w:val="22"/>
                <w:szCs w:val="22"/>
              </w:rPr>
              <w:t xml:space="preserve"> saat: 17.00'ye (Brüksel saati) kadar sunulabilir.</w:t>
            </w:r>
          </w:p>
          <w:p w14:paraId="1E27EC71" w14:textId="77777777" w:rsidR="005061DE" w:rsidRPr="007D7CF8" w:rsidRDefault="005061DE" w:rsidP="005061DE">
            <w:pPr>
              <w:rPr>
                <w:sz w:val="22"/>
                <w:szCs w:val="22"/>
              </w:rPr>
            </w:pPr>
          </w:p>
          <w:p w14:paraId="7CA66352" w14:textId="77777777" w:rsidR="005061DE" w:rsidRPr="007D7CF8" w:rsidRDefault="005061DE" w:rsidP="005061DE">
            <w:pPr>
              <w:rPr>
                <w:sz w:val="22"/>
                <w:szCs w:val="22"/>
              </w:rPr>
            </w:pPr>
            <w:r w:rsidRPr="007D7CF8">
              <w:rPr>
                <w:sz w:val="22"/>
                <w:szCs w:val="22"/>
              </w:rPr>
              <w:t>Elektronik başvuru yapmadan önce “Başvuru Sahipleri İçin Rehber” doküman ve tüm detayları içeren</w:t>
            </w:r>
          </w:p>
          <w:p w14:paraId="163D2A71" w14:textId="77777777" w:rsidR="005061DE" w:rsidRPr="007D7CF8" w:rsidRDefault="005061DE" w:rsidP="005061DE">
            <w:pPr>
              <w:rPr>
                <w:sz w:val="22"/>
                <w:szCs w:val="22"/>
              </w:rPr>
            </w:pPr>
            <w:r w:rsidRPr="007D7CF8">
              <w:rPr>
                <w:sz w:val="22"/>
                <w:szCs w:val="22"/>
              </w:rPr>
              <w:t xml:space="preserve">“Çağrı Metni” tam olarak incelenmelidir. Çağrı metni ve diğer ilgili dokümanlar için </w:t>
            </w:r>
            <w:hyperlink r:id="rId8" w:history="1">
              <w:r w:rsidRPr="007D7CF8">
                <w:rPr>
                  <w:rStyle w:val="Kpr"/>
                  <w:sz w:val="22"/>
                  <w:szCs w:val="22"/>
                </w:rPr>
                <w:t>tıklayınız.</w:t>
              </w:r>
            </w:hyperlink>
            <w:r w:rsidRPr="007D7CF8">
              <w:rPr>
                <w:sz w:val="22"/>
                <w:szCs w:val="22"/>
              </w:rPr>
              <w:t xml:space="preserve"> </w:t>
            </w:r>
          </w:p>
          <w:p w14:paraId="4391E906" w14:textId="77777777" w:rsidR="005061DE" w:rsidRPr="007D7CF8" w:rsidRDefault="005061DE" w:rsidP="005061DE">
            <w:pPr>
              <w:rPr>
                <w:b/>
                <w:sz w:val="22"/>
                <w:szCs w:val="22"/>
              </w:rPr>
            </w:pPr>
          </w:p>
          <w:p w14:paraId="4FA558F4" w14:textId="77777777" w:rsidR="005061DE" w:rsidRPr="007D7CF8" w:rsidRDefault="005061DE" w:rsidP="005061DE">
            <w:pPr>
              <w:rPr>
                <w:b/>
                <w:sz w:val="22"/>
                <w:szCs w:val="22"/>
              </w:rPr>
            </w:pPr>
          </w:p>
        </w:tc>
      </w:tr>
      <w:tr w:rsidR="0090748B" w:rsidRPr="007D7CF8" w14:paraId="6D0A7EF9" w14:textId="77777777" w:rsidTr="00510B70">
        <w:tc>
          <w:tcPr>
            <w:tcW w:w="1975" w:type="dxa"/>
            <w:shd w:val="clear" w:color="auto" w:fill="C5E0B3" w:themeFill="accent6" w:themeFillTint="66"/>
          </w:tcPr>
          <w:p w14:paraId="17B7F668" w14:textId="77777777" w:rsidR="0090748B" w:rsidRPr="007D7CF8" w:rsidRDefault="0090748B" w:rsidP="005061DE">
            <w:pPr>
              <w:rPr>
                <w:b/>
                <w:sz w:val="22"/>
                <w:szCs w:val="22"/>
              </w:rPr>
            </w:pPr>
            <w:r w:rsidRPr="007D7CF8">
              <w:rPr>
                <w:b/>
                <w:sz w:val="22"/>
                <w:szCs w:val="22"/>
              </w:rPr>
              <w:t>COSME</w:t>
            </w:r>
          </w:p>
        </w:tc>
        <w:tc>
          <w:tcPr>
            <w:tcW w:w="3174" w:type="dxa"/>
            <w:shd w:val="clear" w:color="auto" w:fill="C5E0B3" w:themeFill="accent6" w:themeFillTint="66"/>
          </w:tcPr>
          <w:p w14:paraId="0774AC0E" w14:textId="77777777" w:rsidR="0090748B" w:rsidRPr="007D7CF8" w:rsidRDefault="00F656F0" w:rsidP="005061DE">
            <w:pPr>
              <w:rPr>
                <w:b/>
                <w:sz w:val="22"/>
                <w:szCs w:val="22"/>
              </w:rPr>
            </w:pPr>
            <w:r w:rsidRPr="007D7CF8">
              <w:rPr>
                <w:b/>
                <w:sz w:val="22"/>
                <w:szCs w:val="22"/>
              </w:rPr>
              <w:t>Kredi Garanti Desteği (Loan Guarantee Facility – LGF)</w:t>
            </w:r>
          </w:p>
        </w:tc>
        <w:tc>
          <w:tcPr>
            <w:tcW w:w="2748" w:type="dxa"/>
            <w:shd w:val="clear" w:color="auto" w:fill="C5E0B3" w:themeFill="accent6" w:themeFillTint="66"/>
          </w:tcPr>
          <w:p w14:paraId="21F95860" w14:textId="77777777" w:rsidR="0090748B" w:rsidRPr="007D7CF8" w:rsidRDefault="00F656F0" w:rsidP="003F7A17">
            <w:pPr>
              <w:pStyle w:val="ListeParagraf"/>
              <w:numPr>
                <w:ilvl w:val="0"/>
                <w:numId w:val="9"/>
              </w:numPr>
              <w:ind w:left="231" w:hanging="231"/>
              <w:rPr>
                <w:sz w:val="22"/>
                <w:szCs w:val="22"/>
              </w:rPr>
            </w:pPr>
            <w:r w:rsidRPr="007D7CF8">
              <w:rPr>
                <w:sz w:val="22"/>
                <w:szCs w:val="22"/>
              </w:rPr>
              <w:t>KOBİ’lere kredi sunma veya leasing faaliyetlerinde bulunmaya yetkili finans veya kredi kuruluşları ve kredi fonları</w:t>
            </w:r>
          </w:p>
          <w:p w14:paraId="75C012B2" w14:textId="77777777" w:rsidR="00F656F0" w:rsidRPr="007D7CF8" w:rsidRDefault="00F656F0" w:rsidP="003F7A17">
            <w:pPr>
              <w:pStyle w:val="ListeParagraf"/>
              <w:numPr>
                <w:ilvl w:val="0"/>
                <w:numId w:val="9"/>
              </w:numPr>
              <w:ind w:left="231" w:hanging="231"/>
              <w:rPr>
                <w:sz w:val="22"/>
                <w:szCs w:val="22"/>
              </w:rPr>
            </w:pPr>
            <w:r w:rsidRPr="007D7CF8">
              <w:rPr>
                <w:sz w:val="22"/>
                <w:szCs w:val="22"/>
              </w:rPr>
              <w:t>KOBİ’lere garanti sunmaya yetkili garanti kuruluşları, kredi veya finansman kuruluşları.</w:t>
            </w:r>
          </w:p>
        </w:tc>
        <w:tc>
          <w:tcPr>
            <w:tcW w:w="2343" w:type="dxa"/>
            <w:shd w:val="clear" w:color="auto" w:fill="C5E0B3" w:themeFill="accent6" w:themeFillTint="66"/>
          </w:tcPr>
          <w:p w14:paraId="649A1CDD" w14:textId="77777777" w:rsidR="0090748B" w:rsidRPr="007D7CF8" w:rsidRDefault="00F656F0" w:rsidP="005061DE">
            <w:pPr>
              <w:rPr>
                <w:sz w:val="22"/>
                <w:szCs w:val="22"/>
              </w:rPr>
            </w:pPr>
            <w:r w:rsidRPr="007D7CF8">
              <w:rPr>
                <w:sz w:val="22"/>
                <w:szCs w:val="22"/>
              </w:rPr>
              <w:t>COSME Programı Kredi Garanti Desteği için 2014 – 2020 döneminde ayrılan toplam bütçe yaklaşık 740 milyon Avro’dur.</w:t>
            </w:r>
          </w:p>
        </w:tc>
        <w:tc>
          <w:tcPr>
            <w:tcW w:w="3754" w:type="dxa"/>
            <w:shd w:val="clear" w:color="auto" w:fill="C5E0B3" w:themeFill="accent6" w:themeFillTint="66"/>
          </w:tcPr>
          <w:p w14:paraId="07524133" w14:textId="77777777" w:rsidR="0090748B" w:rsidRPr="007D7CF8" w:rsidRDefault="00F656F0" w:rsidP="005061DE">
            <w:pPr>
              <w:rPr>
                <w:sz w:val="22"/>
                <w:szCs w:val="22"/>
              </w:rPr>
            </w:pPr>
            <w:r w:rsidRPr="007D7CF8">
              <w:rPr>
                <w:sz w:val="22"/>
                <w:szCs w:val="22"/>
              </w:rPr>
              <w:t xml:space="preserve">COSME Programı LGF’ye başvurmak isteyen finansal kuruluşlar, EIF web sitesinde yer alan Niyet Beyanı </w:t>
            </w:r>
            <w:proofErr w:type="gramStart"/>
            <w:r w:rsidRPr="007D7CF8">
              <w:rPr>
                <w:sz w:val="22"/>
                <w:szCs w:val="22"/>
              </w:rPr>
              <w:t>Çağrısındaki  gerekli</w:t>
            </w:r>
            <w:proofErr w:type="gramEnd"/>
            <w:r w:rsidRPr="007D7CF8">
              <w:rPr>
                <w:sz w:val="22"/>
                <w:szCs w:val="22"/>
              </w:rPr>
              <w:t xml:space="preserve"> adımları takip ederek 30 Eylül 2020 tarihine kadar başvurularını yapabilir. Başvurularla ilgili değerlendirmeler başvuru tarihine göre öncelik sırasına göre gerçekleştirilmektedir.</w:t>
            </w:r>
          </w:p>
          <w:p w14:paraId="799BFF1D" w14:textId="77777777" w:rsidR="001B3D08" w:rsidRPr="007D7CF8" w:rsidRDefault="001B3D08" w:rsidP="005061DE">
            <w:pPr>
              <w:rPr>
                <w:sz w:val="22"/>
                <w:szCs w:val="22"/>
              </w:rPr>
            </w:pPr>
          </w:p>
          <w:p w14:paraId="70970793" w14:textId="77777777" w:rsidR="001B3D08" w:rsidRPr="007D7CF8" w:rsidRDefault="001B3D08" w:rsidP="005061DE">
            <w:pPr>
              <w:rPr>
                <w:sz w:val="22"/>
                <w:szCs w:val="22"/>
              </w:rPr>
            </w:pPr>
            <w:r w:rsidRPr="007D7CF8">
              <w:rPr>
                <w:sz w:val="22"/>
                <w:szCs w:val="22"/>
              </w:rPr>
              <w:lastRenderedPageBreak/>
              <w:t xml:space="preserve">Detaylı Bilgi için EIF web sitesi: </w:t>
            </w:r>
            <w:hyperlink r:id="rId9" w:history="1">
              <w:r w:rsidRPr="007D7CF8">
                <w:rPr>
                  <w:rStyle w:val="Kpr"/>
                  <w:sz w:val="22"/>
                  <w:szCs w:val="22"/>
                </w:rPr>
                <w:t>https://bit.ly/2Yw9qau</w:t>
              </w:r>
            </w:hyperlink>
            <w:r w:rsidRPr="007D7CF8">
              <w:rPr>
                <w:sz w:val="22"/>
                <w:szCs w:val="22"/>
              </w:rPr>
              <w:t xml:space="preserve"> </w:t>
            </w:r>
          </w:p>
        </w:tc>
      </w:tr>
      <w:tr w:rsidR="0090748B" w:rsidRPr="007D7CF8" w14:paraId="27B64086" w14:textId="77777777" w:rsidTr="00510B70">
        <w:tc>
          <w:tcPr>
            <w:tcW w:w="1975" w:type="dxa"/>
            <w:shd w:val="clear" w:color="auto" w:fill="C5E0B3" w:themeFill="accent6" w:themeFillTint="66"/>
          </w:tcPr>
          <w:p w14:paraId="46B5F7F0" w14:textId="77777777" w:rsidR="0090748B" w:rsidRPr="007D7CF8" w:rsidRDefault="0090748B" w:rsidP="005061DE">
            <w:pPr>
              <w:rPr>
                <w:b/>
                <w:sz w:val="22"/>
                <w:szCs w:val="22"/>
              </w:rPr>
            </w:pPr>
            <w:r w:rsidRPr="007D7CF8">
              <w:rPr>
                <w:b/>
                <w:sz w:val="22"/>
                <w:szCs w:val="22"/>
              </w:rPr>
              <w:lastRenderedPageBreak/>
              <w:t>COSME</w:t>
            </w:r>
          </w:p>
        </w:tc>
        <w:tc>
          <w:tcPr>
            <w:tcW w:w="3174" w:type="dxa"/>
            <w:shd w:val="clear" w:color="auto" w:fill="C5E0B3" w:themeFill="accent6" w:themeFillTint="66"/>
          </w:tcPr>
          <w:p w14:paraId="4DF5982A" w14:textId="77777777" w:rsidR="0090748B" w:rsidRPr="007D7CF8" w:rsidRDefault="00F656F0" w:rsidP="005061DE">
            <w:pPr>
              <w:rPr>
                <w:b/>
                <w:sz w:val="22"/>
                <w:szCs w:val="22"/>
              </w:rPr>
            </w:pPr>
            <w:r w:rsidRPr="007D7CF8">
              <w:rPr>
                <w:b/>
                <w:sz w:val="22"/>
                <w:szCs w:val="22"/>
              </w:rPr>
              <w:t>Büyüme Amaçlı Özkaynak Desteği (Equity Facility for Growth – EFG)</w:t>
            </w:r>
          </w:p>
        </w:tc>
        <w:tc>
          <w:tcPr>
            <w:tcW w:w="2748" w:type="dxa"/>
            <w:shd w:val="clear" w:color="auto" w:fill="C5E0B3" w:themeFill="accent6" w:themeFillTint="66"/>
          </w:tcPr>
          <w:p w14:paraId="61DB6543" w14:textId="77777777" w:rsidR="00F656F0" w:rsidRPr="007D7CF8" w:rsidRDefault="00F656F0" w:rsidP="003F7A17">
            <w:pPr>
              <w:pStyle w:val="ListeParagraf"/>
              <w:numPr>
                <w:ilvl w:val="0"/>
                <w:numId w:val="9"/>
              </w:numPr>
              <w:ind w:left="231" w:hanging="231"/>
              <w:rPr>
                <w:sz w:val="22"/>
                <w:szCs w:val="22"/>
              </w:rPr>
            </w:pPr>
            <w:r w:rsidRPr="007D7CF8">
              <w:rPr>
                <w:sz w:val="22"/>
                <w:szCs w:val="22"/>
              </w:rPr>
              <w:t xml:space="preserve">Uzun dönemli sermaye ve/veya gelir katılımı gibi benzeri finansman </w:t>
            </w:r>
            <w:proofErr w:type="gramStart"/>
            <w:r w:rsidRPr="007D7CF8">
              <w:rPr>
                <w:sz w:val="22"/>
                <w:szCs w:val="22"/>
              </w:rPr>
              <w:t>imkanları</w:t>
            </w:r>
            <w:proofErr w:type="gramEnd"/>
            <w:r w:rsidRPr="007D7CF8">
              <w:rPr>
                <w:sz w:val="22"/>
                <w:szCs w:val="22"/>
              </w:rPr>
              <w:t xml:space="preserve"> sağlamak,</w:t>
            </w:r>
          </w:p>
          <w:p w14:paraId="38C8ABA8" w14:textId="77777777" w:rsidR="0090748B" w:rsidRPr="007D7CF8" w:rsidRDefault="00F656F0" w:rsidP="003F7A17">
            <w:pPr>
              <w:pStyle w:val="ListeParagraf"/>
              <w:numPr>
                <w:ilvl w:val="0"/>
                <w:numId w:val="9"/>
              </w:numPr>
              <w:ind w:left="231" w:hanging="231"/>
              <w:rPr>
                <w:sz w:val="22"/>
                <w:szCs w:val="22"/>
              </w:rPr>
            </w:pPr>
            <w:r w:rsidRPr="007D7CF8">
              <w:rPr>
                <w:sz w:val="22"/>
                <w:szCs w:val="22"/>
              </w:rPr>
              <w:t>Yatırımlarının en az %50’sini büyüme ve gelişme aşamasındaki KOBİ’lere yapmayı taahhüt etmek,</w:t>
            </w:r>
          </w:p>
        </w:tc>
        <w:tc>
          <w:tcPr>
            <w:tcW w:w="2343" w:type="dxa"/>
            <w:shd w:val="clear" w:color="auto" w:fill="C5E0B3" w:themeFill="accent6" w:themeFillTint="66"/>
          </w:tcPr>
          <w:p w14:paraId="056E3097" w14:textId="77777777" w:rsidR="0090748B" w:rsidRPr="007D7CF8" w:rsidRDefault="00F656F0" w:rsidP="005061DE">
            <w:pPr>
              <w:rPr>
                <w:sz w:val="22"/>
                <w:szCs w:val="22"/>
              </w:rPr>
            </w:pPr>
            <w:r w:rsidRPr="007D7CF8">
              <w:rPr>
                <w:sz w:val="22"/>
                <w:szCs w:val="22"/>
              </w:rPr>
              <w:t>COSME Büyüme Amaçlı Özkaynak Desteği için 2014 – 2020 döneminde ayrılan toplam bütçe yaklaşık 690 milyon Avro’dur</w:t>
            </w:r>
          </w:p>
        </w:tc>
        <w:tc>
          <w:tcPr>
            <w:tcW w:w="3754" w:type="dxa"/>
            <w:shd w:val="clear" w:color="auto" w:fill="C5E0B3" w:themeFill="accent6" w:themeFillTint="66"/>
          </w:tcPr>
          <w:p w14:paraId="6F4ABB30" w14:textId="77777777" w:rsidR="0090748B" w:rsidRPr="007D7CF8" w:rsidRDefault="00E567B5" w:rsidP="005061DE">
            <w:pPr>
              <w:rPr>
                <w:sz w:val="22"/>
                <w:szCs w:val="22"/>
              </w:rPr>
            </w:pPr>
            <w:r w:rsidRPr="007D7CF8">
              <w:rPr>
                <w:sz w:val="22"/>
                <w:szCs w:val="22"/>
              </w:rPr>
              <w:t>COSME Programı EGF’ye başvurmak isteyen finansal kuruluşlar, EIF web sitesinde yer alan Niyet Beyanı Çağrısındaki gerekli adımları takip ederek 30 Eylül 2020 tarihine kadar başvurularını yapabilir. Başvurularla ilgili değerlendirmeler başvuru tarihine göre öncelik sırasına göre gerçekleştirilmektedir.</w:t>
            </w:r>
          </w:p>
          <w:p w14:paraId="20FC1255" w14:textId="77777777" w:rsidR="001B3D08" w:rsidRPr="007D7CF8" w:rsidRDefault="001B3D08" w:rsidP="005061DE">
            <w:pPr>
              <w:rPr>
                <w:sz w:val="22"/>
                <w:szCs w:val="22"/>
              </w:rPr>
            </w:pPr>
          </w:p>
          <w:p w14:paraId="0157FDF5" w14:textId="77777777" w:rsidR="001B3D08" w:rsidRPr="007D7CF8" w:rsidRDefault="001B3D08" w:rsidP="005061DE">
            <w:pPr>
              <w:rPr>
                <w:sz w:val="22"/>
                <w:szCs w:val="22"/>
              </w:rPr>
            </w:pPr>
            <w:r w:rsidRPr="007D7CF8">
              <w:rPr>
                <w:sz w:val="22"/>
                <w:szCs w:val="22"/>
              </w:rPr>
              <w:t xml:space="preserve">Detaylı Bilgi için EIF web sitesi: </w:t>
            </w:r>
            <w:hyperlink r:id="rId10" w:history="1">
              <w:r w:rsidRPr="007D7CF8">
                <w:rPr>
                  <w:rStyle w:val="Kpr"/>
                  <w:sz w:val="22"/>
                  <w:szCs w:val="22"/>
                </w:rPr>
                <w:t>https://bit.ly/2E5CgVL</w:t>
              </w:r>
            </w:hyperlink>
            <w:r w:rsidRPr="007D7CF8">
              <w:rPr>
                <w:sz w:val="22"/>
                <w:szCs w:val="22"/>
              </w:rPr>
              <w:t xml:space="preserve"> </w:t>
            </w:r>
          </w:p>
        </w:tc>
      </w:tr>
    </w:tbl>
    <w:p w14:paraId="793A7DEA" w14:textId="77777777" w:rsidR="009B0B01" w:rsidRPr="00F4630A" w:rsidRDefault="009B0B01">
      <w:bookmarkStart w:id="0" w:name="_GoBack"/>
      <w:bookmarkEnd w:id="0"/>
    </w:p>
    <w:sectPr w:rsidR="009B0B01" w:rsidRPr="00F4630A" w:rsidSect="00CD2B6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503DD" w14:textId="77777777" w:rsidR="0054668E" w:rsidRDefault="0054668E" w:rsidP="005D452E">
      <w:r>
        <w:separator/>
      </w:r>
    </w:p>
  </w:endnote>
  <w:endnote w:type="continuationSeparator" w:id="0">
    <w:p w14:paraId="71D88772" w14:textId="77777777" w:rsidR="0054668E" w:rsidRDefault="0054668E" w:rsidP="005D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600FE" w14:textId="77777777" w:rsidR="0054668E" w:rsidRDefault="0054668E" w:rsidP="005D452E">
      <w:r>
        <w:separator/>
      </w:r>
    </w:p>
  </w:footnote>
  <w:footnote w:type="continuationSeparator" w:id="0">
    <w:p w14:paraId="4E16367F" w14:textId="77777777" w:rsidR="0054668E" w:rsidRDefault="0054668E" w:rsidP="005D452E">
      <w:r>
        <w:continuationSeparator/>
      </w:r>
    </w:p>
  </w:footnote>
  <w:footnote w:id="1">
    <w:p w14:paraId="636D6633" w14:textId="77777777" w:rsidR="00F20636" w:rsidRDefault="00F20636">
      <w:pPr>
        <w:pStyle w:val="DipnotMetni"/>
      </w:pPr>
      <w:r>
        <w:rPr>
          <w:rStyle w:val="DipnotBavurusu"/>
        </w:rPr>
        <w:footnoteRef/>
      </w:r>
      <w:r>
        <w:t xml:space="preserve"> Erasmus+: </w:t>
      </w:r>
      <w:hyperlink r:id="rId1" w:history="1">
        <w:r w:rsidRPr="00084923">
          <w:rPr>
            <w:rStyle w:val="Kpr"/>
          </w:rPr>
          <w:t>https://eacea.ec.europa.eu/erasmus-plus/funding_en</w:t>
        </w:r>
      </w:hyperlink>
      <w:r>
        <w:t xml:space="preserve"> </w:t>
      </w:r>
    </w:p>
    <w:p w14:paraId="76F6908F" w14:textId="77777777" w:rsidR="00F20636" w:rsidRDefault="00F20636">
      <w:pPr>
        <w:pStyle w:val="DipnotMetni"/>
      </w:pPr>
      <w:r>
        <w:t xml:space="preserve">ESC: </w:t>
      </w:r>
      <w:hyperlink r:id="rId2" w:history="1">
        <w:r w:rsidRPr="00084923">
          <w:rPr>
            <w:rStyle w:val="Kpr"/>
          </w:rPr>
          <w:t>https://eur-lex.europa.eu/legal-content/EN/TXT/?uri=uriserv:OJ.C_.2019.382.01.0023.01.ENG&amp;toc=OJ:C:2019:382:TOC</w:t>
        </w:r>
      </w:hyperlink>
      <w:r>
        <w:t xml:space="preserve"> </w:t>
      </w:r>
    </w:p>
    <w:p w14:paraId="6C14BC93" w14:textId="77777777" w:rsidR="00F20636" w:rsidRDefault="00F20636" w:rsidP="003901CA">
      <w:pPr>
        <w:pStyle w:val="DipnotMetni"/>
      </w:pPr>
      <w:r>
        <w:t xml:space="preserve">COSME: </w:t>
      </w:r>
      <w:hyperlink r:id="rId3" w:history="1">
        <w:r w:rsidRPr="00295897">
          <w:rPr>
            <w:rStyle w:val="Kpr"/>
          </w:rPr>
          <w:t>https://ec.europa.eu/easme/en/section/cosme/cosme-open-calls-proposals</w:t>
        </w:r>
      </w:hyperlink>
    </w:p>
    <w:p w14:paraId="729352B4" w14:textId="77777777" w:rsidR="00F20636" w:rsidRDefault="00F20636" w:rsidP="003901CA">
      <w:pPr>
        <w:pStyle w:val="DipnotMetni"/>
      </w:pPr>
      <w:r>
        <w:t xml:space="preserve">HORIZON: </w:t>
      </w:r>
      <w:hyperlink r:id="rId4" w:history="1">
        <w:r w:rsidRPr="00295897">
          <w:rPr>
            <w:rStyle w:val="Kpr"/>
          </w:rPr>
          <w:t>https://ec.europa.eu/programmes/horizon2020/</w:t>
        </w:r>
      </w:hyperlink>
    </w:p>
    <w:p w14:paraId="18D8B49C" w14:textId="77777777" w:rsidR="00F20636" w:rsidRDefault="00F20636" w:rsidP="003901CA">
      <w:pPr>
        <w:pStyle w:val="DipnotMetni"/>
      </w:pPr>
      <w:r>
        <w:t xml:space="preserve">EaSI: </w:t>
      </w:r>
      <w:hyperlink r:id="rId5" w:history="1">
        <w:r w:rsidRPr="00295897">
          <w:rPr>
            <w:rStyle w:val="Kpr"/>
          </w:rPr>
          <w:t>https://ec.europa.eu/social/main.jsp?catId=629</w:t>
        </w:r>
      </w:hyperlink>
    </w:p>
    <w:p w14:paraId="4C9589D5" w14:textId="77777777" w:rsidR="00F20636" w:rsidRDefault="00F20636" w:rsidP="003901CA">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D5B"/>
    <w:multiLevelType w:val="multilevel"/>
    <w:tmpl w:val="BE0C83AE"/>
    <w:lvl w:ilvl="0">
      <w:numFmt w:val="bullet"/>
      <w:lvlText w:val="•"/>
      <w:lvlJc w:val="left"/>
      <w:pPr>
        <w:tabs>
          <w:tab w:val="num" w:pos="196"/>
        </w:tabs>
        <w:ind w:left="196" w:hanging="196"/>
      </w:pPr>
      <w:rPr>
        <w:position w:val="-2"/>
      </w:rPr>
    </w:lvl>
    <w:lvl w:ilvl="1">
      <w:start w:val="1"/>
      <w:numFmt w:val="bullet"/>
      <w:lvlText w:val="•"/>
      <w:lvlJc w:val="left"/>
      <w:pPr>
        <w:tabs>
          <w:tab w:val="num" w:pos="376"/>
        </w:tabs>
        <w:ind w:left="376" w:hanging="196"/>
      </w:pPr>
      <w:rPr>
        <w:position w:val="-2"/>
      </w:rPr>
    </w:lvl>
    <w:lvl w:ilvl="2">
      <w:start w:val="1"/>
      <w:numFmt w:val="bullet"/>
      <w:lvlText w:val="•"/>
      <w:lvlJc w:val="left"/>
      <w:pPr>
        <w:tabs>
          <w:tab w:val="num" w:pos="556"/>
        </w:tabs>
        <w:ind w:left="556" w:hanging="196"/>
      </w:pPr>
      <w:rPr>
        <w:position w:val="-2"/>
      </w:rPr>
    </w:lvl>
    <w:lvl w:ilvl="3">
      <w:start w:val="1"/>
      <w:numFmt w:val="bullet"/>
      <w:lvlText w:val="•"/>
      <w:lvlJc w:val="left"/>
      <w:pPr>
        <w:tabs>
          <w:tab w:val="num" w:pos="736"/>
        </w:tabs>
        <w:ind w:left="736" w:hanging="196"/>
      </w:pPr>
      <w:rPr>
        <w:position w:val="-2"/>
      </w:rPr>
    </w:lvl>
    <w:lvl w:ilvl="4">
      <w:start w:val="1"/>
      <w:numFmt w:val="bullet"/>
      <w:lvlText w:val="•"/>
      <w:lvlJc w:val="left"/>
      <w:pPr>
        <w:tabs>
          <w:tab w:val="num" w:pos="916"/>
        </w:tabs>
        <w:ind w:left="916" w:hanging="196"/>
      </w:pPr>
      <w:rPr>
        <w:position w:val="-2"/>
      </w:rPr>
    </w:lvl>
    <w:lvl w:ilvl="5">
      <w:start w:val="1"/>
      <w:numFmt w:val="bullet"/>
      <w:lvlText w:val="•"/>
      <w:lvlJc w:val="left"/>
      <w:pPr>
        <w:tabs>
          <w:tab w:val="num" w:pos="1096"/>
        </w:tabs>
        <w:ind w:left="1096" w:hanging="196"/>
      </w:pPr>
      <w:rPr>
        <w:position w:val="-2"/>
      </w:rPr>
    </w:lvl>
    <w:lvl w:ilvl="6">
      <w:start w:val="1"/>
      <w:numFmt w:val="bullet"/>
      <w:lvlText w:val="•"/>
      <w:lvlJc w:val="left"/>
      <w:pPr>
        <w:tabs>
          <w:tab w:val="num" w:pos="1276"/>
        </w:tabs>
        <w:ind w:left="1276" w:hanging="196"/>
      </w:pPr>
      <w:rPr>
        <w:position w:val="-2"/>
      </w:rPr>
    </w:lvl>
    <w:lvl w:ilvl="7">
      <w:start w:val="1"/>
      <w:numFmt w:val="bullet"/>
      <w:lvlText w:val="•"/>
      <w:lvlJc w:val="left"/>
      <w:pPr>
        <w:tabs>
          <w:tab w:val="num" w:pos="1456"/>
        </w:tabs>
        <w:ind w:left="1456" w:hanging="196"/>
      </w:pPr>
      <w:rPr>
        <w:position w:val="-2"/>
      </w:rPr>
    </w:lvl>
    <w:lvl w:ilvl="8">
      <w:start w:val="1"/>
      <w:numFmt w:val="bullet"/>
      <w:lvlText w:val="•"/>
      <w:lvlJc w:val="left"/>
      <w:pPr>
        <w:tabs>
          <w:tab w:val="num" w:pos="1636"/>
        </w:tabs>
        <w:ind w:left="1636" w:hanging="196"/>
      </w:pPr>
      <w:rPr>
        <w:position w:val="-2"/>
      </w:rPr>
    </w:lvl>
  </w:abstractNum>
  <w:abstractNum w:abstractNumId="1" w15:restartNumberingAfterBreak="0">
    <w:nsid w:val="06CF7429"/>
    <w:multiLevelType w:val="hybridMultilevel"/>
    <w:tmpl w:val="4572B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F018B6"/>
    <w:multiLevelType w:val="hybridMultilevel"/>
    <w:tmpl w:val="423ECA14"/>
    <w:lvl w:ilvl="0" w:tplc="33DAB36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95E72A5"/>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4" w15:restartNumberingAfterBreak="0">
    <w:nsid w:val="196619E1"/>
    <w:multiLevelType w:val="multilevel"/>
    <w:tmpl w:val="0E2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3284C"/>
    <w:multiLevelType w:val="hybridMultilevel"/>
    <w:tmpl w:val="5728FB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3E55430"/>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7" w15:restartNumberingAfterBreak="0">
    <w:nsid w:val="28AA3FDD"/>
    <w:multiLevelType w:val="hybridMultilevel"/>
    <w:tmpl w:val="E3CED43A"/>
    <w:lvl w:ilvl="0" w:tplc="5F8861A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414C3A"/>
    <w:multiLevelType w:val="multilevel"/>
    <w:tmpl w:val="28BC0812"/>
    <w:lvl w:ilvl="0">
      <w:numFmt w:val="bullet"/>
      <w:lvlText w:val="•"/>
      <w:lvlJc w:val="left"/>
      <w:pPr>
        <w:tabs>
          <w:tab w:val="num" w:pos="196"/>
        </w:tabs>
        <w:ind w:left="196" w:hanging="196"/>
      </w:pPr>
      <w:rPr>
        <w:position w:val="-2"/>
      </w:rPr>
    </w:lvl>
    <w:lvl w:ilvl="1">
      <w:start w:val="1"/>
      <w:numFmt w:val="bullet"/>
      <w:lvlText w:val="•"/>
      <w:lvlJc w:val="left"/>
      <w:pPr>
        <w:tabs>
          <w:tab w:val="num" w:pos="376"/>
        </w:tabs>
        <w:ind w:left="376" w:hanging="196"/>
      </w:pPr>
      <w:rPr>
        <w:position w:val="-2"/>
      </w:rPr>
    </w:lvl>
    <w:lvl w:ilvl="2">
      <w:start w:val="1"/>
      <w:numFmt w:val="bullet"/>
      <w:lvlText w:val="•"/>
      <w:lvlJc w:val="left"/>
      <w:pPr>
        <w:tabs>
          <w:tab w:val="num" w:pos="556"/>
        </w:tabs>
        <w:ind w:left="556" w:hanging="196"/>
      </w:pPr>
      <w:rPr>
        <w:position w:val="-2"/>
      </w:rPr>
    </w:lvl>
    <w:lvl w:ilvl="3">
      <w:start w:val="1"/>
      <w:numFmt w:val="bullet"/>
      <w:lvlText w:val="•"/>
      <w:lvlJc w:val="left"/>
      <w:pPr>
        <w:tabs>
          <w:tab w:val="num" w:pos="736"/>
        </w:tabs>
        <w:ind w:left="736" w:hanging="196"/>
      </w:pPr>
      <w:rPr>
        <w:position w:val="-2"/>
      </w:rPr>
    </w:lvl>
    <w:lvl w:ilvl="4">
      <w:start w:val="1"/>
      <w:numFmt w:val="bullet"/>
      <w:lvlText w:val="•"/>
      <w:lvlJc w:val="left"/>
      <w:pPr>
        <w:tabs>
          <w:tab w:val="num" w:pos="916"/>
        </w:tabs>
        <w:ind w:left="916" w:hanging="196"/>
      </w:pPr>
      <w:rPr>
        <w:position w:val="-2"/>
      </w:rPr>
    </w:lvl>
    <w:lvl w:ilvl="5">
      <w:start w:val="1"/>
      <w:numFmt w:val="bullet"/>
      <w:lvlText w:val="•"/>
      <w:lvlJc w:val="left"/>
      <w:pPr>
        <w:tabs>
          <w:tab w:val="num" w:pos="1096"/>
        </w:tabs>
        <w:ind w:left="1096" w:hanging="196"/>
      </w:pPr>
      <w:rPr>
        <w:position w:val="-2"/>
      </w:rPr>
    </w:lvl>
    <w:lvl w:ilvl="6">
      <w:start w:val="1"/>
      <w:numFmt w:val="bullet"/>
      <w:lvlText w:val="•"/>
      <w:lvlJc w:val="left"/>
      <w:pPr>
        <w:tabs>
          <w:tab w:val="num" w:pos="1276"/>
        </w:tabs>
        <w:ind w:left="1276" w:hanging="196"/>
      </w:pPr>
      <w:rPr>
        <w:position w:val="-2"/>
      </w:rPr>
    </w:lvl>
    <w:lvl w:ilvl="7">
      <w:start w:val="1"/>
      <w:numFmt w:val="bullet"/>
      <w:lvlText w:val="•"/>
      <w:lvlJc w:val="left"/>
      <w:pPr>
        <w:tabs>
          <w:tab w:val="num" w:pos="1456"/>
        </w:tabs>
        <w:ind w:left="1456" w:hanging="196"/>
      </w:pPr>
      <w:rPr>
        <w:position w:val="-2"/>
      </w:rPr>
    </w:lvl>
    <w:lvl w:ilvl="8">
      <w:start w:val="1"/>
      <w:numFmt w:val="bullet"/>
      <w:lvlText w:val="•"/>
      <w:lvlJc w:val="left"/>
      <w:pPr>
        <w:tabs>
          <w:tab w:val="num" w:pos="1636"/>
        </w:tabs>
        <w:ind w:left="1636" w:hanging="196"/>
      </w:pPr>
      <w:rPr>
        <w:position w:val="-2"/>
      </w:rPr>
    </w:lvl>
  </w:abstractNum>
  <w:abstractNum w:abstractNumId="9" w15:restartNumberingAfterBreak="0">
    <w:nsid w:val="4D644A11"/>
    <w:multiLevelType w:val="multilevel"/>
    <w:tmpl w:val="5AD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31965"/>
    <w:multiLevelType w:val="hybridMultilevel"/>
    <w:tmpl w:val="4836CE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69287B6A"/>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12" w15:restartNumberingAfterBreak="0">
    <w:nsid w:val="694A0AFD"/>
    <w:multiLevelType w:val="hybridMultilevel"/>
    <w:tmpl w:val="6284F1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333818"/>
    <w:multiLevelType w:val="multilevel"/>
    <w:tmpl w:val="450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944DE"/>
    <w:multiLevelType w:val="hybridMultilevel"/>
    <w:tmpl w:val="E608429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4"/>
  </w:num>
  <w:num w:numId="5">
    <w:abstractNumId w:val="10"/>
  </w:num>
  <w:num w:numId="6">
    <w:abstractNumId w:val="12"/>
  </w:num>
  <w:num w:numId="7">
    <w:abstractNumId w:val="5"/>
  </w:num>
  <w:num w:numId="8">
    <w:abstractNumId w:val="7"/>
  </w:num>
  <w:num w:numId="9">
    <w:abstractNumId w:val="1"/>
  </w:num>
  <w:num w:numId="10">
    <w:abstractNumId w:val="3"/>
  </w:num>
  <w:num w:numId="11">
    <w:abstractNumId w:val="11"/>
  </w:num>
  <w:num w:numId="12">
    <w:abstractNumId w:val="6"/>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01"/>
    <w:rsid w:val="00013198"/>
    <w:rsid w:val="00021913"/>
    <w:rsid w:val="00097C74"/>
    <w:rsid w:val="000E4795"/>
    <w:rsid w:val="000E6827"/>
    <w:rsid w:val="0010032E"/>
    <w:rsid w:val="001159F9"/>
    <w:rsid w:val="001173B3"/>
    <w:rsid w:val="001270FB"/>
    <w:rsid w:val="0012717E"/>
    <w:rsid w:val="00143F85"/>
    <w:rsid w:val="001B3D08"/>
    <w:rsid w:val="001D4DE8"/>
    <w:rsid w:val="0021498C"/>
    <w:rsid w:val="002F1818"/>
    <w:rsid w:val="003176B3"/>
    <w:rsid w:val="00320EBA"/>
    <w:rsid w:val="00345F8E"/>
    <w:rsid w:val="00382287"/>
    <w:rsid w:val="00382FE0"/>
    <w:rsid w:val="003843B7"/>
    <w:rsid w:val="003901CA"/>
    <w:rsid w:val="003F6EA3"/>
    <w:rsid w:val="003F7A17"/>
    <w:rsid w:val="00421CEB"/>
    <w:rsid w:val="0049450D"/>
    <w:rsid w:val="004C0095"/>
    <w:rsid w:val="005061DE"/>
    <w:rsid w:val="00510B70"/>
    <w:rsid w:val="005330E7"/>
    <w:rsid w:val="0054668E"/>
    <w:rsid w:val="005D452E"/>
    <w:rsid w:val="006B60E5"/>
    <w:rsid w:val="006F6588"/>
    <w:rsid w:val="007150E6"/>
    <w:rsid w:val="00756C60"/>
    <w:rsid w:val="0075762E"/>
    <w:rsid w:val="00765877"/>
    <w:rsid w:val="00770396"/>
    <w:rsid w:val="00770657"/>
    <w:rsid w:val="00771C9D"/>
    <w:rsid w:val="00793598"/>
    <w:rsid w:val="007C36DA"/>
    <w:rsid w:val="007D7CF8"/>
    <w:rsid w:val="007F41B0"/>
    <w:rsid w:val="0083380A"/>
    <w:rsid w:val="008628E4"/>
    <w:rsid w:val="00874404"/>
    <w:rsid w:val="00896270"/>
    <w:rsid w:val="008A062D"/>
    <w:rsid w:val="008C1DBF"/>
    <w:rsid w:val="008C5F79"/>
    <w:rsid w:val="008E471D"/>
    <w:rsid w:val="0090748B"/>
    <w:rsid w:val="0098013E"/>
    <w:rsid w:val="00995920"/>
    <w:rsid w:val="009B0B01"/>
    <w:rsid w:val="009B685E"/>
    <w:rsid w:val="009C2A40"/>
    <w:rsid w:val="009F070D"/>
    <w:rsid w:val="00A10C76"/>
    <w:rsid w:val="00A52F77"/>
    <w:rsid w:val="00AC02C7"/>
    <w:rsid w:val="00AC7476"/>
    <w:rsid w:val="00AE5D90"/>
    <w:rsid w:val="00AF0E82"/>
    <w:rsid w:val="00AF781F"/>
    <w:rsid w:val="00B01293"/>
    <w:rsid w:val="00B322E3"/>
    <w:rsid w:val="00B34B50"/>
    <w:rsid w:val="00BC1A5A"/>
    <w:rsid w:val="00BC6B79"/>
    <w:rsid w:val="00C65EF6"/>
    <w:rsid w:val="00C7654B"/>
    <w:rsid w:val="00CD2B69"/>
    <w:rsid w:val="00CE573C"/>
    <w:rsid w:val="00D02DDC"/>
    <w:rsid w:val="00D202F9"/>
    <w:rsid w:val="00D66471"/>
    <w:rsid w:val="00D833C0"/>
    <w:rsid w:val="00E123C3"/>
    <w:rsid w:val="00E567B5"/>
    <w:rsid w:val="00E730C9"/>
    <w:rsid w:val="00E9384C"/>
    <w:rsid w:val="00F05A54"/>
    <w:rsid w:val="00F12C47"/>
    <w:rsid w:val="00F20636"/>
    <w:rsid w:val="00F37BF0"/>
    <w:rsid w:val="00F4630A"/>
    <w:rsid w:val="00F656F0"/>
    <w:rsid w:val="00F67C5D"/>
    <w:rsid w:val="00F72FC8"/>
    <w:rsid w:val="00F94FAE"/>
    <w:rsid w:val="00FD28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3431"/>
  <w15:docId w15:val="{B3DE9594-7A0F-4F99-81A5-6C3889B0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E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B012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B0B01"/>
    <w:rPr>
      <w:color w:val="0563C1" w:themeColor="hyperlink"/>
      <w:u w:val="single"/>
    </w:rPr>
  </w:style>
  <w:style w:type="paragraph" w:styleId="ListeParagraf">
    <w:name w:val="List Paragraph"/>
    <w:basedOn w:val="Normal"/>
    <w:uiPriority w:val="34"/>
    <w:qFormat/>
    <w:rsid w:val="00021913"/>
    <w:pPr>
      <w:ind w:left="720"/>
      <w:contextualSpacing/>
    </w:pPr>
  </w:style>
  <w:style w:type="paragraph" w:styleId="NormalWeb">
    <w:name w:val="Normal (Web)"/>
    <w:basedOn w:val="Normal"/>
    <w:uiPriority w:val="99"/>
    <w:semiHidden/>
    <w:unhideWhenUsed/>
    <w:rsid w:val="00421CEB"/>
    <w:pPr>
      <w:spacing w:before="100" w:beforeAutospacing="1" w:after="100" w:afterAutospacing="1"/>
    </w:pPr>
  </w:style>
  <w:style w:type="character" w:styleId="Vurgu">
    <w:name w:val="Emphasis"/>
    <w:basedOn w:val="VarsaylanParagrafYazTipi"/>
    <w:uiPriority w:val="20"/>
    <w:qFormat/>
    <w:rsid w:val="00421CEB"/>
    <w:rPr>
      <w:i/>
      <w:iCs/>
    </w:rPr>
  </w:style>
  <w:style w:type="character" w:customStyle="1" w:styleId="Balk1Char">
    <w:name w:val="Başlık 1 Char"/>
    <w:basedOn w:val="VarsaylanParagrafYazTipi"/>
    <w:link w:val="Balk1"/>
    <w:uiPriority w:val="9"/>
    <w:rsid w:val="00B01293"/>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B01293"/>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1293"/>
    <w:rPr>
      <w:rFonts w:asciiTheme="majorHAnsi" w:eastAsiaTheme="majorEastAsia" w:hAnsiTheme="majorHAnsi" w:cstheme="majorBidi"/>
      <w:spacing w:val="-10"/>
      <w:kern w:val="28"/>
      <w:sz w:val="56"/>
      <w:szCs w:val="56"/>
      <w:lang w:eastAsia="tr-TR"/>
    </w:rPr>
  </w:style>
  <w:style w:type="paragraph" w:styleId="HTMLncedenBiimlendirilmi">
    <w:name w:val="HTML Preformatted"/>
    <w:basedOn w:val="Normal"/>
    <w:link w:val="HTMLncedenBiimlendirilmiChar"/>
    <w:uiPriority w:val="99"/>
    <w:semiHidden/>
    <w:unhideWhenUsed/>
    <w:rsid w:val="00C76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C7654B"/>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F656F0"/>
    <w:rPr>
      <w:rFonts w:ascii="Tahoma" w:hAnsi="Tahoma" w:cs="Tahoma"/>
      <w:sz w:val="16"/>
      <w:szCs w:val="16"/>
    </w:rPr>
  </w:style>
  <w:style w:type="character" w:customStyle="1" w:styleId="BalonMetniChar">
    <w:name w:val="Balon Metni Char"/>
    <w:basedOn w:val="VarsaylanParagrafYazTipi"/>
    <w:link w:val="BalonMetni"/>
    <w:uiPriority w:val="99"/>
    <w:semiHidden/>
    <w:rsid w:val="00F656F0"/>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5D452E"/>
    <w:rPr>
      <w:sz w:val="20"/>
      <w:szCs w:val="20"/>
    </w:rPr>
  </w:style>
  <w:style w:type="character" w:customStyle="1" w:styleId="DipnotMetniChar">
    <w:name w:val="Dipnot Metni Char"/>
    <w:basedOn w:val="VarsaylanParagrafYazTipi"/>
    <w:link w:val="DipnotMetni"/>
    <w:uiPriority w:val="99"/>
    <w:semiHidden/>
    <w:rsid w:val="005D452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D452E"/>
    <w:rPr>
      <w:vertAlign w:val="superscript"/>
    </w:rPr>
  </w:style>
  <w:style w:type="character" w:styleId="Gl">
    <w:name w:val="Strong"/>
    <w:basedOn w:val="VarsaylanParagrafYazTipi"/>
    <w:uiPriority w:val="22"/>
    <w:qFormat/>
    <w:rsid w:val="008E471D"/>
    <w:rPr>
      <w:b/>
      <w:bCs/>
    </w:rPr>
  </w:style>
  <w:style w:type="character" w:customStyle="1" w:styleId="UnresolvedMention">
    <w:name w:val="Unresolved Mention"/>
    <w:basedOn w:val="VarsaylanParagrafYazTipi"/>
    <w:uiPriority w:val="99"/>
    <w:semiHidden/>
    <w:unhideWhenUsed/>
    <w:rsid w:val="00143F85"/>
    <w:rPr>
      <w:color w:val="605E5C"/>
      <w:shd w:val="clear" w:color="auto" w:fill="E1DFDD"/>
    </w:rPr>
  </w:style>
  <w:style w:type="character" w:styleId="zlenenKpr">
    <w:name w:val="FollowedHyperlink"/>
    <w:basedOn w:val="VarsaylanParagrafYazTipi"/>
    <w:uiPriority w:val="99"/>
    <w:semiHidden/>
    <w:unhideWhenUsed/>
    <w:rsid w:val="00CD2B69"/>
    <w:rPr>
      <w:color w:val="800080"/>
      <w:u w:val="single"/>
    </w:rPr>
  </w:style>
  <w:style w:type="paragraph" w:customStyle="1" w:styleId="msonormal0">
    <w:name w:val="msonormal"/>
    <w:basedOn w:val="Normal"/>
    <w:rsid w:val="00CD2B69"/>
    <w:pPr>
      <w:spacing w:before="100" w:beforeAutospacing="1" w:after="100" w:afterAutospacing="1"/>
    </w:pPr>
  </w:style>
  <w:style w:type="paragraph" w:customStyle="1" w:styleId="font5">
    <w:name w:val="font5"/>
    <w:basedOn w:val="Normal"/>
    <w:rsid w:val="00CD2B69"/>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CD2B69"/>
    <w:pPr>
      <w:spacing w:before="100" w:beforeAutospacing="1" w:after="100" w:afterAutospacing="1"/>
    </w:pPr>
    <w:rPr>
      <w:rFonts w:ascii="Tahoma" w:hAnsi="Tahoma" w:cs="Tahoma"/>
      <w:color w:val="000000"/>
      <w:sz w:val="18"/>
      <w:szCs w:val="18"/>
    </w:rPr>
  </w:style>
  <w:style w:type="paragraph" w:customStyle="1" w:styleId="xl67">
    <w:name w:val="xl67"/>
    <w:basedOn w:val="Normal"/>
    <w:rsid w:val="00CD2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hAnsi="Calibri" w:cs="Calibri"/>
      <w:b/>
      <w:bCs/>
    </w:rPr>
  </w:style>
  <w:style w:type="paragraph" w:customStyle="1" w:styleId="xl68">
    <w:name w:val="xl68"/>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69">
    <w:name w:val="xl69"/>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0">
    <w:name w:val="xl70"/>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1">
    <w:name w:val="xl71"/>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2">
    <w:name w:val="xl72"/>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3">
    <w:name w:val="xl73"/>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4">
    <w:name w:val="xl74"/>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6">
    <w:name w:val="xl76"/>
    <w:basedOn w:val="Normal"/>
    <w:rsid w:val="00CD2B6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7">
    <w:name w:val="xl77"/>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u w:val="single"/>
    </w:rPr>
  </w:style>
  <w:style w:type="paragraph" w:customStyle="1" w:styleId="xl78">
    <w:name w:val="xl78"/>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u w:val="single"/>
    </w:rPr>
  </w:style>
  <w:style w:type="paragraph" w:customStyle="1" w:styleId="xl79">
    <w:name w:val="xl79"/>
    <w:basedOn w:val="Normal"/>
    <w:rsid w:val="00CD2B69"/>
    <w:pPr>
      <w:spacing w:before="100" w:beforeAutospacing="1" w:after="100" w:afterAutospacing="1"/>
      <w:textAlignment w:val="center"/>
    </w:pPr>
    <w:rPr>
      <w:rFonts w:ascii="Calibri" w:hAnsi="Calibri" w:cs="Calibri"/>
    </w:rPr>
  </w:style>
  <w:style w:type="paragraph" w:customStyle="1" w:styleId="xl80">
    <w:name w:val="xl80"/>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81">
    <w:name w:val="xl81"/>
    <w:basedOn w:val="Normal"/>
    <w:rsid w:val="00CD2B69"/>
    <w:pPr>
      <w:spacing w:before="100" w:beforeAutospacing="1" w:after="100" w:afterAutospacing="1"/>
    </w:pPr>
    <w:rPr>
      <w:color w:val="0000FF"/>
      <w:u w:val="single"/>
    </w:rPr>
  </w:style>
  <w:style w:type="paragraph" w:customStyle="1" w:styleId="xl82">
    <w:name w:val="xl82"/>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83">
    <w:name w:val="xl83"/>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84">
    <w:name w:val="xl84"/>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FF"/>
      <w:u w:val="single"/>
    </w:rPr>
  </w:style>
  <w:style w:type="paragraph" w:customStyle="1" w:styleId="xl85">
    <w:name w:val="xl85"/>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6">
    <w:name w:val="xl86"/>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87">
    <w:name w:val="xl87"/>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8">
    <w:name w:val="xl88"/>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0">
    <w:name w:val="xl90"/>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1">
    <w:name w:val="xl91"/>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92">
    <w:name w:val="xl92"/>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3">
    <w:name w:val="xl93"/>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96">
    <w:name w:val="xl96"/>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97">
    <w:name w:val="xl97"/>
    <w:basedOn w:val="Normal"/>
    <w:rsid w:val="00CD2B69"/>
    <w:pPr>
      <w:pBdr>
        <w:left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CD2B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9">
    <w:name w:val="xl99"/>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100">
    <w:name w:val="xl100"/>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CD2B69"/>
    <w:pPr>
      <w:spacing w:before="100" w:beforeAutospacing="1" w:after="100" w:afterAutospacing="1"/>
    </w:pPr>
  </w:style>
  <w:style w:type="paragraph" w:customStyle="1" w:styleId="xl102">
    <w:name w:val="xl102"/>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rPr>
  </w:style>
  <w:style w:type="paragraph" w:customStyle="1" w:styleId="xl103">
    <w:name w:val="xl103"/>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rPr>
  </w:style>
  <w:style w:type="paragraph" w:customStyle="1" w:styleId="xl104">
    <w:name w:val="xl104"/>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05">
    <w:name w:val="xl105"/>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6">
    <w:name w:val="xl106"/>
    <w:basedOn w:val="Normal"/>
    <w:rsid w:val="00CD2B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1863">
      <w:bodyDiv w:val="1"/>
      <w:marLeft w:val="0"/>
      <w:marRight w:val="0"/>
      <w:marTop w:val="0"/>
      <w:marBottom w:val="0"/>
      <w:divBdr>
        <w:top w:val="none" w:sz="0" w:space="0" w:color="auto"/>
        <w:left w:val="none" w:sz="0" w:space="0" w:color="auto"/>
        <w:bottom w:val="none" w:sz="0" w:space="0" w:color="auto"/>
        <w:right w:val="none" w:sz="0" w:space="0" w:color="auto"/>
      </w:divBdr>
    </w:div>
    <w:div w:id="255751277">
      <w:bodyDiv w:val="1"/>
      <w:marLeft w:val="0"/>
      <w:marRight w:val="0"/>
      <w:marTop w:val="0"/>
      <w:marBottom w:val="0"/>
      <w:divBdr>
        <w:top w:val="none" w:sz="0" w:space="0" w:color="auto"/>
        <w:left w:val="none" w:sz="0" w:space="0" w:color="auto"/>
        <w:bottom w:val="none" w:sz="0" w:space="0" w:color="auto"/>
        <w:right w:val="none" w:sz="0" w:space="0" w:color="auto"/>
      </w:divBdr>
    </w:div>
    <w:div w:id="887843185">
      <w:bodyDiv w:val="1"/>
      <w:marLeft w:val="0"/>
      <w:marRight w:val="0"/>
      <w:marTop w:val="0"/>
      <w:marBottom w:val="0"/>
      <w:divBdr>
        <w:top w:val="none" w:sz="0" w:space="0" w:color="auto"/>
        <w:left w:val="none" w:sz="0" w:space="0" w:color="auto"/>
        <w:bottom w:val="none" w:sz="0" w:space="0" w:color="auto"/>
        <w:right w:val="none" w:sz="0" w:space="0" w:color="auto"/>
      </w:divBdr>
    </w:div>
    <w:div w:id="1017853707">
      <w:bodyDiv w:val="1"/>
      <w:marLeft w:val="0"/>
      <w:marRight w:val="0"/>
      <w:marTop w:val="0"/>
      <w:marBottom w:val="0"/>
      <w:divBdr>
        <w:top w:val="none" w:sz="0" w:space="0" w:color="auto"/>
        <w:left w:val="none" w:sz="0" w:space="0" w:color="auto"/>
        <w:bottom w:val="none" w:sz="0" w:space="0" w:color="auto"/>
        <w:right w:val="none" w:sz="0" w:space="0" w:color="auto"/>
      </w:divBdr>
    </w:div>
    <w:div w:id="1063672996">
      <w:bodyDiv w:val="1"/>
      <w:marLeft w:val="0"/>
      <w:marRight w:val="0"/>
      <w:marTop w:val="0"/>
      <w:marBottom w:val="0"/>
      <w:divBdr>
        <w:top w:val="none" w:sz="0" w:space="0" w:color="auto"/>
        <w:left w:val="none" w:sz="0" w:space="0" w:color="auto"/>
        <w:bottom w:val="none" w:sz="0" w:space="0" w:color="auto"/>
        <w:right w:val="none" w:sz="0" w:space="0" w:color="auto"/>
      </w:divBdr>
    </w:div>
    <w:div w:id="1081871974">
      <w:bodyDiv w:val="1"/>
      <w:marLeft w:val="0"/>
      <w:marRight w:val="0"/>
      <w:marTop w:val="0"/>
      <w:marBottom w:val="0"/>
      <w:divBdr>
        <w:top w:val="none" w:sz="0" w:space="0" w:color="auto"/>
        <w:left w:val="none" w:sz="0" w:space="0" w:color="auto"/>
        <w:bottom w:val="none" w:sz="0" w:space="0" w:color="auto"/>
        <w:right w:val="none" w:sz="0" w:space="0" w:color="auto"/>
      </w:divBdr>
    </w:div>
    <w:div w:id="1292446184">
      <w:bodyDiv w:val="1"/>
      <w:marLeft w:val="0"/>
      <w:marRight w:val="0"/>
      <w:marTop w:val="0"/>
      <w:marBottom w:val="0"/>
      <w:divBdr>
        <w:top w:val="none" w:sz="0" w:space="0" w:color="auto"/>
        <w:left w:val="none" w:sz="0" w:space="0" w:color="auto"/>
        <w:bottom w:val="none" w:sz="0" w:space="0" w:color="auto"/>
        <w:right w:val="none" w:sz="0" w:space="0" w:color="auto"/>
      </w:divBdr>
    </w:div>
    <w:div w:id="1675379847">
      <w:bodyDiv w:val="1"/>
      <w:marLeft w:val="0"/>
      <w:marRight w:val="0"/>
      <w:marTop w:val="0"/>
      <w:marBottom w:val="0"/>
      <w:divBdr>
        <w:top w:val="none" w:sz="0" w:space="0" w:color="auto"/>
        <w:left w:val="none" w:sz="0" w:space="0" w:color="auto"/>
        <w:bottom w:val="none" w:sz="0" w:space="0" w:color="auto"/>
        <w:right w:val="none" w:sz="0" w:space="0" w:color="auto"/>
      </w:divBdr>
    </w:div>
    <w:div w:id="1690449112">
      <w:bodyDiv w:val="1"/>
      <w:marLeft w:val="0"/>
      <w:marRight w:val="0"/>
      <w:marTop w:val="0"/>
      <w:marBottom w:val="0"/>
      <w:divBdr>
        <w:top w:val="none" w:sz="0" w:space="0" w:color="auto"/>
        <w:left w:val="none" w:sz="0" w:space="0" w:color="auto"/>
        <w:bottom w:val="none" w:sz="0" w:space="0" w:color="auto"/>
        <w:right w:val="none" w:sz="0" w:space="0" w:color="auto"/>
      </w:divBdr>
    </w:div>
    <w:div w:id="2032148705">
      <w:bodyDiv w:val="1"/>
      <w:marLeft w:val="0"/>
      <w:marRight w:val="0"/>
      <w:marTop w:val="0"/>
      <w:marBottom w:val="0"/>
      <w:divBdr>
        <w:top w:val="none" w:sz="0" w:space="0" w:color="auto"/>
        <w:left w:val="none" w:sz="0" w:space="0" w:color="auto"/>
        <w:bottom w:val="none" w:sz="0" w:space="0" w:color="auto"/>
        <w:right w:val="none" w:sz="0" w:space="0" w:color="auto"/>
      </w:divBdr>
      <w:divsChild>
        <w:div w:id="98397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asme/en/section/cosme/cos-sem-2020-4-01-social-economy-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t.ly/2E5CgVL" TargetMode="External"/><Relationship Id="rId4" Type="http://schemas.openxmlformats.org/officeDocument/2006/relationships/settings" Target="settings.xml"/><Relationship Id="rId9" Type="http://schemas.openxmlformats.org/officeDocument/2006/relationships/hyperlink" Target="https://bit.ly/2Yw9q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asme/en/section/cosme/cosme-open-calls-proposals" TargetMode="External"/><Relationship Id="rId2" Type="http://schemas.openxmlformats.org/officeDocument/2006/relationships/hyperlink" Target="https://eur-lex.europa.eu/legal-content/EN/TXT/?uri=uriserv:OJ.C_.2019.382.01.0023.01.ENG&amp;toc=OJ:C:2019:382:TOC" TargetMode="External"/><Relationship Id="rId1" Type="http://schemas.openxmlformats.org/officeDocument/2006/relationships/hyperlink" Target="https://eacea.ec.europa.eu/erasmus-plus/funding_en" TargetMode="External"/><Relationship Id="rId5" Type="http://schemas.openxmlformats.org/officeDocument/2006/relationships/hyperlink" Target="https://ec.europa.eu/social/main.jsp?catId=629" TargetMode="External"/><Relationship Id="rId4" Type="http://schemas.openxmlformats.org/officeDocument/2006/relationships/hyperlink" Target="https://ec.europa.eu/programmes/horizon20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680A-CFA4-44E4-896B-02D49BF9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 Akar</dc:creator>
  <cp:lastModifiedBy>Arzu Akar</cp:lastModifiedBy>
  <cp:revision>2</cp:revision>
  <dcterms:created xsi:type="dcterms:W3CDTF">2020-06-04T14:09:00Z</dcterms:created>
  <dcterms:modified xsi:type="dcterms:W3CDTF">2020-06-04T14:09:00Z</dcterms:modified>
</cp:coreProperties>
</file>