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00" w:rsidRPr="00023530" w:rsidRDefault="00F0790B" w:rsidP="00F0790B">
      <w:pPr>
        <w:jc w:val="center"/>
        <w:rPr>
          <w:rFonts w:ascii="Times New Roman" w:hAnsi="Times New Roman" w:cs="Times New Roman"/>
          <w:b/>
          <w:sz w:val="24"/>
          <w:szCs w:val="24"/>
          <w:lang w:val="en-GB"/>
        </w:rPr>
      </w:pPr>
      <w:bookmarkStart w:id="0" w:name="_GoBack"/>
      <w:bookmarkEnd w:id="0"/>
      <w:r w:rsidRPr="00023530">
        <w:rPr>
          <w:rFonts w:ascii="Times New Roman" w:hAnsi="Times New Roman" w:cs="Times New Roman"/>
          <w:b/>
          <w:sz w:val="24"/>
          <w:szCs w:val="24"/>
          <w:lang w:val="en-GB"/>
        </w:rPr>
        <w:t>COUNCIL REGULATION (EU) No 390/2014 of 14 April 2014 establishing the ‘Europe for Citizens’ programme for the period 2014-2020</w:t>
      </w:r>
    </w:p>
    <w:p w:rsidR="00F0790B" w:rsidRPr="00023530" w:rsidRDefault="00F0790B" w:rsidP="00F0790B">
      <w:pPr>
        <w:jc w:val="center"/>
        <w:rPr>
          <w:rFonts w:ascii="Times New Roman" w:hAnsi="Times New Roman" w:cs="Times New Roman"/>
          <w:b/>
          <w:sz w:val="24"/>
          <w:szCs w:val="24"/>
          <w:lang w:val="en-GB"/>
        </w:rPr>
      </w:pP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THE COUNCIL OF THE EUROPEAN UNION,</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Having regard to the Treaty on the Functioning of the European Union, and in particular Article 352 thereof,</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Having regard to the opinion of the Committee of the Regions,</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 xml:space="preserve">Acting in accordance with a special legislative procedure, </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Whereas:</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(1) In line with Articles 10 and 11 of the Treaty on European Union, every citizen has the right to participate in the democratic life of the Union and the Union's institutions should give citizens and representative associations the opportunity to make known and publicly exchange their views in all areas of Union action, as well as maintain an open, transparent and regular dialogue with representative associations and civil society.</w:t>
      </w:r>
    </w:p>
    <w:p w:rsidR="00F0790B" w:rsidRPr="00023530" w:rsidRDefault="001873ED"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 xml:space="preserve">(4) In order to bring Europe closer to its citizens and to enable them to participate fully in the construction of an ever closer Union, a variety of actions and coordinated efforts through transnational and Union level activities are required. The European Citizens' Initiative provides a unique opportunity to enable citizens to participate directly in shaping the development of EU legislation. </w:t>
      </w:r>
    </w:p>
    <w:p w:rsidR="00F0790B" w:rsidRPr="00023530" w:rsidRDefault="001873ED"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(12) The acceding countries, candidate countries and potential candidates benefiting from a pre-accession strategy on one side, and the EFTA countries party to the EEA Agreement on the other side are recognised as potential participants in Union programmes, in accordance with the agreements concluded with them. Furthermore, pursuant t</w:t>
      </w:r>
      <w:r w:rsidR="006E245F" w:rsidRPr="00023530">
        <w:rPr>
          <w:rFonts w:ascii="Times New Roman" w:hAnsi="Times New Roman" w:cs="Times New Roman"/>
          <w:sz w:val="24"/>
          <w:szCs w:val="24"/>
          <w:lang w:val="en-GB"/>
        </w:rPr>
        <w:t xml:space="preserve">o Council Decision 2001/822/EC, </w:t>
      </w:r>
      <w:r w:rsidRPr="00023530">
        <w:rPr>
          <w:rFonts w:ascii="Times New Roman" w:hAnsi="Times New Roman" w:cs="Times New Roman"/>
          <w:sz w:val="24"/>
          <w:szCs w:val="24"/>
          <w:lang w:val="en-GB"/>
        </w:rPr>
        <w:t>overseas countries and territories are eligible to participate in the Programme.</w:t>
      </w:r>
    </w:p>
    <w:p w:rsidR="000552EE" w:rsidRPr="00023530" w:rsidRDefault="001873ED"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6E245F" w:rsidRPr="00023530" w:rsidRDefault="006E245F"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(14) The resources allocated to communication actions under this Regulation could also contribute to institutional communication of the political priorities of the Union as far as they are related to the general objectives of this Regulation.</w:t>
      </w:r>
    </w:p>
    <w:p w:rsidR="006E245F" w:rsidRPr="00023530" w:rsidRDefault="001873ED"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HAS ADOPTED THIS REGULATION:</w:t>
      </w:r>
    </w:p>
    <w:p w:rsidR="00F0790B" w:rsidRPr="00023530" w:rsidRDefault="001873ED"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w:t>
      </w:r>
    </w:p>
    <w:p w:rsidR="00F0790B" w:rsidRPr="00023530" w:rsidRDefault="00F0790B" w:rsidP="00F0790B">
      <w:pPr>
        <w:jc w:val="center"/>
        <w:rPr>
          <w:rFonts w:ascii="Times New Roman" w:hAnsi="Times New Roman" w:cs="Times New Roman"/>
          <w:i/>
          <w:iCs/>
          <w:sz w:val="24"/>
          <w:szCs w:val="24"/>
          <w:lang w:val="en-GB"/>
        </w:rPr>
      </w:pPr>
      <w:r w:rsidRPr="00023530">
        <w:rPr>
          <w:rFonts w:ascii="Times New Roman" w:hAnsi="Times New Roman" w:cs="Times New Roman"/>
          <w:i/>
          <w:iCs/>
          <w:sz w:val="24"/>
          <w:szCs w:val="24"/>
          <w:lang w:val="en-GB"/>
        </w:rPr>
        <w:t xml:space="preserve">Article 2 </w:t>
      </w:r>
    </w:p>
    <w:p w:rsidR="00F0790B" w:rsidRPr="00023530" w:rsidRDefault="00F0790B" w:rsidP="00F0790B">
      <w:pPr>
        <w:jc w:val="center"/>
        <w:rPr>
          <w:rFonts w:ascii="Times New Roman" w:hAnsi="Times New Roman" w:cs="Times New Roman"/>
          <w:b/>
          <w:bCs/>
          <w:sz w:val="24"/>
          <w:szCs w:val="24"/>
          <w:lang w:val="en-GB"/>
        </w:rPr>
      </w:pPr>
      <w:r w:rsidRPr="00023530">
        <w:rPr>
          <w:rFonts w:ascii="Times New Roman" w:hAnsi="Times New Roman" w:cs="Times New Roman"/>
          <w:b/>
          <w:bCs/>
          <w:sz w:val="24"/>
          <w:szCs w:val="24"/>
          <w:lang w:val="en-GB"/>
        </w:rPr>
        <w:t>Specific objectives of the Programme</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 xml:space="preserve">The Programme shall have the following specific objectives which shall be implemented through actions at transnational level or with a European dimension: </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 xml:space="preserve">(a) to raise awareness of remembrance, the common history and values of the Union and the Union's aim, namely to promote peace, the values of the Union and the well-being of its peoples, by stimulating debate, reflection and the development of networks; </w:t>
      </w:r>
    </w:p>
    <w:p w:rsidR="00F0790B"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(b) to encourage the democratic and civic participation of citizens at Union level, by developing citizens' understanding of the Union policy making-process and promoting opportunities for societal and intercultural engagement and volunteering at Union level.</w:t>
      </w:r>
    </w:p>
    <w:p w:rsidR="00AC3B09" w:rsidRPr="00023530" w:rsidRDefault="00AC3B09"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F0790B" w:rsidRPr="00023530" w:rsidRDefault="00F0790B" w:rsidP="00F0790B">
      <w:pPr>
        <w:jc w:val="center"/>
        <w:rPr>
          <w:rFonts w:ascii="Times New Roman" w:hAnsi="Times New Roman" w:cs="Times New Roman"/>
          <w:i/>
          <w:sz w:val="24"/>
          <w:szCs w:val="24"/>
          <w:lang w:val="en-GB"/>
        </w:rPr>
      </w:pPr>
      <w:r w:rsidRPr="00023530">
        <w:rPr>
          <w:rFonts w:ascii="Times New Roman" w:hAnsi="Times New Roman" w:cs="Times New Roman"/>
          <w:i/>
          <w:sz w:val="24"/>
          <w:szCs w:val="24"/>
          <w:lang w:val="en-GB"/>
        </w:rPr>
        <w:t>Article 6</w:t>
      </w:r>
    </w:p>
    <w:p w:rsidR="00F0790B" w:rsidRPr="00023530" w:rsidRDefault="00F0790B" w:rsidP="00F0790B">
      <w:pPr>
        <w:jc w:val="center"/>
        <w:rPr>
          <w:rFonts w:ascii="Times New Roman" w:hAnsi="Times New Roman" w:cs="Times New Roman"/>
          <w:b/>
          <w:sz w:val="24"/>
          <w:szCs w:val="24"/>
          <w:lang w:val="en-GB"/>
        </w:rPr>
      </w:pPr>
      <w:r w:rsidRPr="00023530">
        <w:rPr>
          <w:rFonts w:ascii="Times New Roman" w:hAnsi="Times New Roman" w:cs="Times New Roman"/>
          <w:b/>
          <w:sz w:val="24"/>
          <w:szCs w:val="24"/>
          <w:lang w:val="en-GB"/>
        </w:rPr>
        <w:t>Access to the Programme</w:t>
      </w:r>
    </w:p>
    <w:p w:rsidR="00F0790B"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The Programme shall be open to all stakeholders promoting European citizenship and integration, in particular local and regional authorities and organisations, twinning committees, European public policy research organisations (think-tanks), civil society organisations (including survivors' associations), and cultural, youth, educational and research organisations.</w:t>
      </w:r>
    </w:p>
    <w:p w:rsidR="00AC3B09" w:rsidRPr="00023530" w:rsidRDefault="00AC3B09"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F0790B" w:rsidRPr="00023530" w:rsidRDefault="00F0790B" w:rsidP="00F0790B">
      <w:pPr>
        <w:jc w:val="center"/>
        <w:rPr>
          <w:rFonts w:ascii="Times New Roman" w:hAnsi="Times New Roman" w:cs="Times New Roman"/>
          <w:i/>
          <w:sz w:val="24"/>
          <w:szCs w:val="24"/>
          <w:lang w:val="en-GB"/>
        </w:rPr>
      </w:pPr>
      <w:r w:rsidRPr="00023530">
        <w:rPr>
          <w:rFonts w:ascii="Times New Roman" w:hAnsi="Times New Roman" w:cs="Times New Roman"/>
          <w:i/>
          <w:sz w:val="24"/>
          <w:szCs w:val="24"/>
          <w:lang w:val="en-GB"/>
        </w:rPr>
        <w:t xml:space="preserve">Article 8 </w:t>
      </w:r>
    </w:p>
    <w:p w:rsidR="00F0790B" w:rsidRPr="00023530" w:rsidRDefault="00F0790B" w:rsidP="00F0790B">
      <w:pPr>
        <w:jc w:val="center"/>
        <w:rPr>
          <w:rFonts w:ascii="Times New Roman" w:hAnsi="Times New Roman" w:cs="Times New Roman"/>
          <w:b/>
          <w:sz w:val="24"/>
          <w:szCs w:val="24"/>
          <w:lang w:val="en-GB"/>
        </w:rPr>
      </w:pPr>
      <w:r w:rsidRPr="00023530">
        <w:rPr>
          <w:rFonts w:ascii="Times New Roman" w:hAnsi="Times New Roman" w:cs="Times New Roman"/>
          <w:b/>
          <w:sz w:val="24"/>
          <w:szCs w:val="24"/>
          <w:lang w:val="en-GB"/>
        </w:rPr>
        <w:t>Implementation of the Programme</w:t>
      </w:r>
    </w:p>
    <w:p w:rsidR="00F0790B" w:rsidRPr="00023530" w:rsidRDefault="00E668A9"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00F0790B" w:rsidRPr="00023530">
        <w:rPr>
          <w:rFonts w:ascii="Times New Roman" w:hAnsi="Times New Roman" w:cs="Times New Roman"/>
          <w:sz w:val="24"/>
          <w:szCs w:val="24"/>
          <w:lang w:val="en-GB"/>
        </w:rPr>
        <w:t xml:space="preserve">The Commission shall implement the Programme in accordance with the Financial Regulation. </w:t>
      </w:r>
    </w:p>
    <w:p w:rsidR="00F0790B" w:rsidRDefault="00E668A9"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00F0790B" w:rsidRPr="00023530">
        <w:rPr>
          <w:rFonts w:ascii="Times New Roman" w:hAnsi="Times New Roman" w:cs="Times New Roman"/>
          <w:sz w:val="24"/>
          <w:szCs w:val="24"/>
          <w:lang w:val="en-GB"/>
        </w:rPr>
        <w:t xml:space="preserve">In order to implement the Programme, the Commission shall adopt annual work programmes by way of implementing acts in accordance with the advisory procedure referred to in Article 9(2). The annual work programmes shall set out the objectives pursued, the expected results, the method of implementation and the total amount of the financing plan. They shall also contain a description of the actions to be financed, an indication of the amount allocated to each action and an indicative implementation timetable. In relation to grants, the annual work programmes shall include the priorities, the essential evaluation criteria and the maximum rate of co-financing. </w:t>
      </w:r>
    </w:p>
    <w:p w:rsidR="00AC3B09" w:rsidRDefault="00AC3B09" w:rsidP="00F0790B">
      <w:pPr>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AC3B09" w:rsidRPr="00023530" w:rsidRDefault="00AC3B09" w:rsidP="00F0790B">
      <w:pPr>
        <w:jc w:val="both"/>
        <w:rPr>
          <w:rFonts w:ascii="Times New Roman" w:hAnsi="Times New Roman" w:cs="Times New Roman"/>
          <w:sz w:val="24"/>
          <w:szCs w:val="24"/>
          <w:lang w:val="en-GB"/>
        </w:rPr>
      </w:pPr>
    </w:p>
    <w:p w:rsidR="00F0790B" w:rsidRPr="00023530" w:rsidRDefault="00F0790B" w:rsidP="00F0790B">
      <w:pPr>
        <w:jc w:val="center"/>
        <w:rPr>
          <w:rFonts w:ascii="Times New Roman" w:hAnsi="Times New Roman" w:cs="Times New Roman"/>
          <w:i/>
          <w:sz w:val="24"/>
          <w:szCs w:val="24"/>
          <w:lang w:val="en-GB"/>
        </w:rPr>
      </w:pPr>
      <w:r w:rsidRPr="00023530">
        <w:rPr>
          <w:rFonts w:ascii="Times New Roman" w:hAnsi="Times New Roman" w:cs="Times New Roman"/>
          <w:i/>
          <w:sz w:val="24"/>
          <w:szCs w:val="24"/>
          <w:lang w:val="en-GB"/>
        </w:rPr>
        <w:lastRenderedPageBreak/>
        <w:t xml:space="preserve">Article 17 </w:t>
      </w:r>
    </w:p>
    <w:p w:rsidR="00F0790B" w:rsidRPr="00023530" w:rsidRDefault="00F0790B" w:rsidP="00F0790B">
      <w:pPr>
        <w:jc w:val="center"/>
        <w:rPr>
          <w:rFonts w:ascii="Times New Roman" w:hAnsi="Times New Roman" w:cs="Times New Roman"/>
          <w:b/>
          <w:sz w:val="24"/>
          <w:szCs w:val="24"/>
          <w:lang w:val="en-GB"/>
        </w:rPr>
      </w:pPr>
      <w:r w:rsidRPr="00023530">
        <w:rPr>
          <w:rFonts w:ascii="Times New Roman" w:hAnsi="Times New Roman" w:cs="Times New Roman"/>
          <w:b/>
          <w:sz w:val="24"/>
          <w:szCs w:val="24"/>
          <w:lang w:val="en-GB"/>
        </w:rPr>
        <w:t>Entry into force</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 xml:space="preserve">This Regulation shall enter into force on the day of its publication in the Official Journal of the European Union. </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 xml:space="preserve">It shall apply from 1 January 2014. </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 xml:space="preserve">This Regulation shall be binding in its entirety and directly applicable in all Member States. </w:t>
      </w:r>
    </w:p>
    <w:p w:rsidR="00F0790B" w:rsidRPr="00023530" w:rsidRDefault="00F0790B" w:rsidP="00F0790B">
      <w:pPr>
        <w:jc w:val="both"/>
        <w:rPr>
          <w:rFonts w:ascii="Times New Roman" w:hAnsi="Times New Roman" w:cs="Times New Roman"/>
          <w:sz w:val="24"/>
          <w:szCs w:val="24"/>
          <w:lang w:val="en-GB"/>
        </w:rPr>
      </w:pPr>
      <w:r w:rsidRPr="00023530">
        <w:rPr>
          <w:rFonts w:ascii="Times New Roman" w:hAnsi="Times New Roman" w:cs="Times New Roman"/>
          <w:sz w:val="24"/>
          <w:szCs w:val="24"/>
          <w:lang w:val="en-GB"/>
        </w:rPr>
        <w:t>Done at Brussels, 14 April 2014.</w:t>
      </w:r>
      <w:r w:rsidR="006E245F" w:rsidRPr="00023530">
        <w:rPr>
          <w:rFonts w:ascii="Times New Roman" w:hAnsi="Times New Roman" w:cs="Times New Roman"/>
          <w:sz w:val="24"/>
          <w:szCs w:val="24"/>
          <w:lang w:val="en-GB"/>
        </w:rPr>
        <w:t xml:space="preserve"> </w:t>
      </w:r>
    </w:p>
    <w:sectPr w:rsidR="00F0790B" w:rsidRPr="00023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9A"/>
    <w:rsid w:val="00014A48"/>
    <w:rsid w:val="00023530"/>
    <w:rsid w:val="000552EE"/>
    <w:rsid w:val="00121AC0"/>
    <w:rsid w:val="001873ED"/>
    <w:rsid w:val="002F671C"/>
    <w:rsid w:val="0037319D"/>
    <w:rsid w:val="004B6202"/>
    <w:rsid w:val="005E2438"/>
    <w:rsid w:val="00652E6B"/>
    <w:rsid w:val="006A26A7"/>
    <w:rsid w:val="006B1C69"/>
    <w:rsid w:val="006E245F"/>
    <w:rsid w:val="007F63BB"/>
    <w:rsid w:val="007F6C2A"/>
    <w:rsid w:val="008900FF"/>
    <w:rsid w:val="00892200"/>
    <w:rsid w:val="008F59F0"/>
    <w:rsid w:val="00970E4A"/>
    <w:rsid w:val="00A57A89"/>
    <w:rsid w:val="00A75455"/>
    <w:rsid w:val="00AC3B09"/>
    <w:rsid w:val="00BA6EF6"/>
    <w:rsid w:val="00E668A9"/>
    <w:rsid w:val="00EF359A"/>
    <w:rsid w:val="00F079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79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7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 Ozbay</dc:creator>
  <cp:lastModifiedBy>Sinem Cevik</cp:lastModifiedBy>
  <cp:revision>2</cp:revision>
  <dcterms:created xsi:type="dcterms:W3CDTF">2015-12-02T10:03:00Z</dcterms:created>
  <dcterms:modified xsi:type="dcterms:W3CDTF">2015-12-02T10:03:00Z</dcterms:modified>
</cp:coreProperties>
</file>