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00" w:rsidRPr="00867ED3" w:rsidRDefault="00C305F3" w:rsidP="00C305F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7ED3">
        <w:rPr>
          <w:rFonts w:ascii="Times New Roman" w:hAnsi="Times New Roman" w:cs="Times New Roman"/>
          <w:sz w:val="24"/>
          <w:szCs w:val="24"/>
        </w:rPr>
        <w:t xml:space="preserve">RÈGLEMENT (UE) No 390/2014 DU CONSEIL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avril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2014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établissant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L'Europe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citoyens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période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2014-2020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>LE CONSEIL DE L'UNION EUROPÉENNE,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D3">
        <w:rPr>
          <w:rFonts w:ascii="Times New Roman" w:hAnsi="Times New Roman" w:cs="Times New Roman"/>
          <w:sz w:val="24"/>
          <w:szCs w:val="24"/>
        </w:rPr>
        <w:t>vu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traité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sur le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fonctionnement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européenne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notamment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352,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>…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D3">
        <w:rPr>
          <w:rFonts w:ascii="Times New Roman" w:hAnsi="Times New Roman" w:cs="Times New Roman"/>
          <w:sz w:val="24"/>
          <w:szCs w:val="24"/>
        </w:rPr>
        <w:t>vu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l'avis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Comité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régions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>,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statuant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conformément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procédure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législative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spéciale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>,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considérant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suit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>: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ED3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Conformément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10 et 11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traité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sur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européenne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tout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citoyen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droit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participer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vie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démocratique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devraient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donner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citoyens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associations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représentatives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possibilité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faire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connaître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d'échanger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publiquement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leurs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opinions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tous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domaines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d'action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d'entretenir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dialogue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ouvert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transparent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régulier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associations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représentatives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>…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 xml:space="preserve">(4) </w:t>
      </w:r>
      <w:proofErr w:type="gramStart"/>
      <w:r w:rsidRPr="00867ED3">
        <w:rPr>
          <w:rFonts w:ascii="Times New Roman" w:hAnsi="Times New Roman" w:cs="Times New Roman"/>
          <w:sz w:val="24"/>
          <w:szCs w:val="24"/>
        </w:rPr>
        <w:t>Afin</w:t>
      </w:r>
      <w:proofErr w:type="gram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rapprocher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l'Europe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ses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citoyens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permettre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derniers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participer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pleinement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d'une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sans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cesse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étroite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convient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mener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toute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série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d'actions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déployer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coordonnés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l'aide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d'activités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niveau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transnational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à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l'échelon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L'initiative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citoyenne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européenne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constitue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occasion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unique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donner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citoyens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possibilité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participer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directement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l'élaboration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législation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>.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>…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 xml:space="preserve">(12)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pays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voie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d'adhésion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pays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candidats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candidats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potentiels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bénéficiant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stratégie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préadhésion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d'une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pays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l'AELE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l'accord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EEE,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d'autre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reconnus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comme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potentiels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conformément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accords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conclus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pays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. En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outre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termes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décision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2001/822/CE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Conseil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( 1 ),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pays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territoires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d'outre-mer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possibilité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participer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>.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>…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 xml:space="preserve">(14)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ressources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affectées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titre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présent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règlement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pourraient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également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contribuer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institutionnelle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priorités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politiques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dans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mesure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où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elles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rapport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avec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objectifs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généraux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présent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règlement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>.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>…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lastRenderedPageBreak/>
        <w:t>A ADOPTÉ LE PRÉSENT RÈGLEMENT: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>…</w:t>
      </w:r>
    </w:p>
    <w:p w:rsidR="00C305F3" w:rsidRPr="00867ED3" w:rsidRDefault="00C305F3" w:rsidP="00C305F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67ED3">
        <w:rPr>
          <w:rFonts w:ascii="Times New Roman" w:hAnsi="Times New Roman" w:cs="Times New Roman"/>
          <w:i/>
          <w:sz w:val="24"/>
          <w:szCs w:val="24"/>
        </w:rPr>
        <w:t>Article</w:t>
      </w:r>
      <w:proofErr w:type="spellEnd"/>
      <w:r w:rsidRPr="00867ED3">
        <w:rPr>
          <w:rFonts w:ascii="Times New Roman" w:hAnsi="Times New Roman" w:cs="Times New Roman"/>
          <w:i/>
          <w:sz w:val="24"/>
          <w:szCs w:val="24"/>
        </w:rPr>
        <w:t xml:space="preserve"> 2 </w:t>
      </w:r>
    </w:p>
    <w:p w:rsidR="00C305F3" w:rsidRPr="00867ED3" w:rsidRDefault="00C305F3" w:rsidP="00C30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7ED3">
        <w:rPr>
          <w:rFonts w:ascii="Times New Roman" w:hAnsi="Times New Roman" w:cs="Times New Roman"/>
          <w:b/>
          <w:sz w:val="24"/>
          <w:szCs w:val="24"/>
        </w:rPr>
        <w:t>Objectifs</w:t>
      </w:r>
      <w:proofErr w:type="spellEnd"/>
      <w:r w:rsidRPr="00867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b/>
          <w:sz w:val="24"/>
          <w:szCs w:val="24"/>
        </w:rPr>
        <w:t>spécifiques</w:t>
      </w:r>
      <w:proofErr w:type="spellEnd"/>
      <w:r w:rsidRPr="00867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Pr="00867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poursuit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objectifs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spécifiques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ci-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après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sont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mis en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œuvre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niveau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transnational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comportant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dimension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européenne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sensibiliser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travail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mémoire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à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l'histoire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aux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valeurs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communes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ainsi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qu'au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but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à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savoir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promouvoir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paix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valeurs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le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bien-être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ses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peuples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en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favorisant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débat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réflexion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la mise en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réseaux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305F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encourager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participation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démocratique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civique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citoyens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niveau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en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leur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permettant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mieux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comprendre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l'élaboration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politiques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en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créant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circonstances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favorables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l'engagement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dans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entre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volontariat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niveau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>.</w:t>
      </w:r>
    </w:p>
    <w:p w:rsidR="00920B1C" w:rsidRPr="00867ED3" w:rsidRDefault="00920B1C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C305F3" w:rsidRPr="00867ED3" w:rsidRDefault="00C305F3" w:rsidP="00920B1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67ED3">
        <w:rPr>
          <w:rFonts w:ascii="Times New Roman" w:hAnsi="Times New Roman" w:cs="Times New Roman"/>
          <w:i/>
          <w:sz w:val="24"/>
          <w:szCs w:val="24"/>
        </w:rPr>
        <w:t>Article</w:t>
      </w:r>
      <w:proofErr w:type="spellEnd"/>
      <w:r w:rsidRPr="00867ED3">
        <w:rPr>
          <w:rFonts w:ascii="Times New Roman" w:hAnsi="Times New Roman" w:cs="Times New Roman"/>
          <w:i/>
          <w:sz w:val="24"/>
          <w:szCs w:val="24"/>
        </w:rPr>
        <w:t xml:space="preserve"> 6</w:t>
      </w:r>
    </w:p>
    <w:p w:rsidR="00C305F3" w:rsidRPr="00867ED3" w:rsidRDefault="00C305F3" w:rsidP="00920B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7ED3">
        <w:rPr>
          <w:rFonts w:ascii="Times New Roman" w:hAnsi="Times New Roman" w:cs="Times New Roman"/>
          <w:b/>
          <w:sz w:val="24"/>
          <w:szCs w:val="24"/>
        </w:rPr>
        <w:t>Accès</w:t>
      </w:r>
      <w:proofErr w:type="spellEnd"/>
      <w:r w:rsidRPr="00867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b/>
          <w:sz w:val="24"/>
          <w:szCs w:val="24"/>
        </w:rPr>
        <w:t>au</w:t>
      </w:r>
      <w:proofErr w:type="spellEnd"/>
      <w:r w:rsidRPr="00867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</w:p>
    <w:p w:rsidR="00C305F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ED3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ouvert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toutes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prenantes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œuvrant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citoyenneté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l'intégration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européennes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en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particulier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autorités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locales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régionales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comités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jumelage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organismes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réflexion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sur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politiques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publiques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européennes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société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(y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compris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associations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victimes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),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culturelles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jeunesse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d'enseignement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recherche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20B1C" w:rsidRPr="00867ED3" w:rsidRDefault="00920B1C" w:rsidP="00C305F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C305F3" w:rsidRPr="00867ED3" w:rsidRDefault="00C305F3" w:rsidP="00C305F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67ED3">
        <w:rPr>
          <w:rFonts w:ascii="Times New Roman" w:hAnsi="Times New Roman" w:cs="Times New Roman"/>
          <w:i/>
          <w:sz w:val="24"/>
          <w:szCs w:val="24"/>
        </w:rPr>
        <w:t>Article</w:t>
      </w:r>
      <w:proofErr w:type="spellEnd"/>
      <w:r w:rsidRPr="00867ED3">
        <w:rPr>
          <w:rFonts w:ascii="Times New Roman" w:hAnsi="Times New Roman" w:cs="Times New Roman"/>
          <w:i/>
          <w:sz w:val="24"/>
          <w:szCs w:val="24"/>
        </w:rPr>
        <w:t xml:space="preserve"> 8</w:t>
      </w:r>
    </w:p>
    <w:p w:rsidR="00C305F3" w:rsidRPr="00867ED3" w:rsidRDefault="00C305F3" w:rsidP="00C30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ED3">
        <w:rPr>
          <w:rFonts w:ascii="Times New Roman" w:hAnsi="Times New Roman" w:cs="Times New Roman"/>
          <w:b/>
          <w:sz w:val="24"/>
          <w:szCs w:val="24"/>
        </w:rPr>
        <w:t xml:space="preserve">Mise en </w:t>
      </w:r>
      <w:proofErr w:type="spellStart"/>
      <w:r w:rsidRPr="00867ED3">
        <w:rPr>
          <w:rFonts w:ascii="Times New Roman" w:hAnsi="Times New Roman" w:cs="Times New Roman"/>
          <w:b/>
          <w:sz w:val="24"/>
          <w:szCs w:val="24"/>
        </w:rPr>
        <w:t>œuvre</w:t>
      </w:r>
      <w:proofErr w:type="spellEnd"/>
      <w:r w:rsidRPr="00867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Pr="00867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 xml:space="preserve">1.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met le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œuvre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conformément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règlement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financier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5F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ED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la mise en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œuvre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adopte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travail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annuels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par le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biais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d'actes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d'exécution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conformément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procédure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consultative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visée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l'article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9,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paragraphe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travail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annuels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énoncent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objectifs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poursuivis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résultats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escomptés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modalités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mise en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œuvre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le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montant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plan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financement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 w:rsidRPr="00867ED3">
        <w:rPr>
          <w:rFonts w:ascii="Times New Roman" w:hAnsi="Times New Roman" w:cs="Times New Roman"/>
          <w:sz w:val="24"/>
          <w:szCs w:val="24"/>
        </w:rPr>
        <w:t>Ils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comportent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également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description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financer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une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indication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montants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alloués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chaque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action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un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calendrier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indicatif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mise en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œuvre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travail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annuels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établissent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pour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subventions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priorités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critères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d'évaluation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essentiels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le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taux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maximal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cofinancement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>.</w:t>
      </w:r>
    </w:p>
    <w:p w:rsidR="00920B1C" w:rsidRPr="00867ED3" w:rsidRDefault="00920B1C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C305F3" w:rsidRPr="00867ED3" w:rsidRDefault="00C305F3" w:rsidP="00C305F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67ED3">
        <w:rPr>
          <w:rFonts w:ascii="Times New Roman" w:hAnsi="Times New Roman" w:cs="Times New Roman"/>
          <w:i/>
          <w:sz w:val="24"/>
          <w:szCs w:val="24"/>
        </w:rPr>
        <w:lastRenderedPageBreak/>
        <w:t>Article</w:t>
      </w:r>
      <w:proofErr w:type="spellEnd"/>
      <w:r w:rsidRPr="00867ED3">
        <w:rPr>
          <w:rFonts w:ascii="Times New Roman" w:hAnsi="Times New Roman" w:cs="Times New Roman"/>
          <w:i/>
          <w:sz w:val="24"/>
          <w:szCs w:val="24"/>
        </w:rPr>
        <w:t xml:space="preserve"> 17</w:t>
      </w:r>
    </w:p>
    <w:p w:rsidR="00C305F3" w:rsidRPr="00867ED3" w:rsidRDefault="00C305F3" w:rsidP="00C305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7ED3">
        <w:rPr>
          <w:rFonts w:ascii="Times New Roman" w:hAnsi="Times New Roman" w:cs="Times New Roman"/>
          <w:b/>
          <w:sz w:val="24"/>
          <w:szCs w:val="24"/>
        </w:rPr>
        <w:t>Entrée</w:t>
      </w:r>
      <w:proofErr w:type="spellEnd"/>
      <w:r w:rsidRPr="00867ED3">
        <w:rPr>
          <w:rFonts w:ascii="Times New Roman" w:hAnsi="Times New Roman" w:cs="Times New Roman"/>
          <w:b/>
          <w:sz w:val="24"/>
          <w:szCs w:val="24"/>
        </w:rPr>
        <w:t xml:space="preserve"> en </w:t>
      </w:r>
      <w:proofErr w:type="spellStart"/>
      <w:r w:rsidRPr="00867ED3">
        <w:rPr>
          <w:rFonts w:ascii="Times New Roman" w:hAnsi="Times New Roman" w:cs="Times New Roman"/>
          <w:b/>
          <w:sz w:val="24"/>
          <w:szCs w:val="24"/>
        </w:rPr>
        <w:t>vigueur</w:t>
      </w:r>
      <w:proofErr w:type="spellEnd"/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présent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règlement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entre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vigueur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jour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publication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officiel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l'Union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européenne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>.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D3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partir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1er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janvier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2014.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r w:rsidRPr="00867ED3">
        <w:rPr>
          <w:rFonts w:ascii="Times New Roman" w:hAnsi="Times New Roman" w:cs="Times New Roman"/>
          <w:sz w:val="24"/>
          <w:szCs w:val="24"/>
        </w:rPr>
        <w:t xml:space="preserve">Le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présent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règlement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obligatoire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tous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ses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éléments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directement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applicable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tout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État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membre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>.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D3">
        <w:rPr>
          <w:rFonts w:ascii="Times New Roman" w:hAnsi="Times New Roman" w:cs="Times New Roman"/>
          <w:sz w:val="24"/>
          <w:szCs w:val="24"/>
        </w:rPr>
        <w:t>Fait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Luxembourg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, le 14 </w:t>
      </w:r>
      <w:proofErr w:type="spellStart"/>
      <w:r w:rsidRPr="00867ED3">
        <w:rPr>
          <w:rFonts w:ascii="Times New Roman" w:hAnsi="Times New Roman" w:cs="Times New Roman"/>
          <w:sz w:val="24"/>
          <w:szCs w:val="24"/>
        </w:rPr>
        <w:t>avril</w:t>
      </w:r>
      <w:proofErr w:type="spellEnd"/>
      <w:r w:rsidRPr="00867ED3">
        <w:rPr>
          <w:rFonts w:ascii="Times New Roman" w:hAnsi="Times New Roman" w:cs="Times New Roman"/>
          <w:sz w:val="24"/>
          <w:szCs w:val="24"/>
        </w:rPr>
        <w:t xml:space="preserve"> 2014.</w:t>
      </w: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5F3" w:rsidRPr="00867ED3" w:rsidRDefault="00C305F3" w:rsidP="00C305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05F3" w:rsidRPr="00867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BE"/>
    <w:rsid w:val="00014A48"/>
    <w:rsid w:val="00121AC0"/>
    <w:rsid w:val="002F671C"/>
    <w:rsid w:val="0037319D"/>
    <w:rsid w:val="004B6202"/>
    <w:rsid w:val="004D0AAA"/>
    <w:rsid w:val="00501CDC"/>
    <w:rsid w:val="005E2438"/>
    <w:rsid w:val="006524AA"/>
    <w:rsid w:val="00652E6B"/>
    <w:rsid w:val="006A26A7"/>
    <w:rsid w:val="006B1C69"/>
    <w:rsid w:val="006D4C6B"/>
    <w:rsid w:val="007F6C2A"/>
    <w:rsid w:val="00867ED3"/>
    <w:rsid w:val="008900FF"/>
    <w:rsid w:val="00892200"/>
    <w:rsid w:val="008F59F0"/>
    <w:rsid w:val="00920B1C"/>
    <w:rsid w:val="00970E4A"/>
    <w:rsid w:val="009F547B"/>
    <w:rsid w:val="00A447BE"/>
    <w:rsid w:val="00C305F3"/>
    <w:rsid w:val="00E2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0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0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 Ozbay</dc:creator>
  <cp:lastModifiedBy>Sinem Cevik</cp:lastModifiedBy>
  <cp:revision>2</cp:revision>
  <dcterms:created xsi:type="dcterms:W3CDTF">2015-12-02T10:02:00Z</dcterms:created>
  <dcterms:modified xsi:type="dcterms:W3CDTF">2015-12-02T10:02:00Z</dcterms:modified>
</cp:coreProperties>
</file>