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F8B" w:rsidRPr="00BF3F8B" w:rsidRDefault="00BF3F8B" w:rsidP="00BF3F8B">
      <w:pPr>
        <w:pStyle w:val="doc-ti"/>
        <w:spacing w:before="240" w:beforeAutospacing="0" w:after="120" w:afterAutospacing="0"/>
        <w:jc w:val="center"/>
        <w:rPr>
          <w:b/>
          <w:bCs/>
          <w:color w:val="000000"/>
          <w:lang w:val="de-DE"/>
        </w:rPr>
      </w:pPr>
      <w:bookmarkStart w:id="0" w:name="_GoBack"/>
      <w:bookmarkEnd w:id="0"/>
      <w:r w:rsidRPr="00BF3F8B">
        <w:rPr>
          <w:b/>
          <w:bCs/>
          <w:color w:val="000000"/>
          <w:lang w:val="de-DE"/>
        </w:rPr>
        <w:t>VERORDNUNG</w:t>
      </w:r>
      <w:r w:rsidRPr="00BF3F8B">
        <w:rPr>
          <w:rStyle w:val="apple-converted-space"/>
          <w:b/>
          <w:bCs/>
          <w:color w:val="000000"/>
          <w:lang w:val="de-DE"/>
        </w:rPr>
        <w:t> </w:t>
      </w:r>
      <w:r w:rsidRPr="00BF3F8B">
        <w:rPr>
          <w:b/>
          <w:bCs/>
          <w:color w:val="000000"/>
          <w:lang w:val="de-DE"/>
        </w:rPr>
        <w:t>(EU) Nr. 390/2014</w:t>
      </w:r>
      <w:r w:rsidRPr="00BF3F8B">
        <w:rPr>
          <w:rStyle w:val="apple-converted-space"/>
          <w:b/>
          <w:bCs/>
          <w:color w:val="000000"/>
          <w:lang w:val="de-DE"/>
        </w:rPr>
        <w:t> </w:t>
      </w:r>
      <w:r w:rsidRPr="00BF3F8B">
        <w:rPr>
          <w:b/>
          <w:bCs/>
          <w:color w:val="000000"/>
          <w:lang w:val="de-DE"/>
        </w:rPr>
        <w:t>DES RATES</w:t>
      </w:r>
    </w:p>
    <w:p w:rsidR="00BF3F8B" w:rsidRPr="00BF3F8B" w:rsidRDefault="00BF3F8B" w:rsidP="00BF3F8B">
      <w:pPr>
        <w:pStyle w:val="doc-ti"/>
        <w:spacing w:before="240" w:beforeAutospacing="0" w:after="120" w:afterAutospacing="0"/>
        <w:jc w:val="center"/>
        <w:rPr>
          <w:b/>
          <w:bCs/>
          <w:color w:val="000000"/>
          <w:lang w:val="de-DE"/>
        </w:rPr>
      </w:pPr>
      <w:r w:rsidRPr="00BF3F8B">
        <w:rPr>
          <w:b/>
          <w:bCs/>
          <w:color w:val="000000"/>
          <w:lang w:val="de-DE"/>
        </w:rPr>
        <w:t>vom 14. April 2014</w:t>
      </w:r>
    </w:p>
    <w:p w:rsidR="00BF3F8B" w:rsidRPr="00BF3F8B" w:rsidRDefault="00BF3F8B" w:rsidP="00BF3F8B">
      <w:pPr>
        <w:pStyle w:val="doc-ti"/>
        <w:spacing w:before="240" w:beforeAutospacing="0" w:after="120" w:afterAutospacing="0"/>
        <w:jc w:val="center"/>
        <w:rPr>
          <w:b/>
          <w:bCs/>
          <w:color w:val="000000"/>
          <w:lang w:val="de-DE"/>
        </w:rPr>
      </w:pPr>
      <w:r w:rsidRPr="00BF3F8B">
        <w:rPr>
          <w:b/>
          <w:bCs/>
          <w:color w:val="000000"/>
          <w:lang w:val="de-DE"/>
        </w:rPr>
        <w:t>über das Programm „Europa für Bürgerinnen und Bürger“ für den Zeitraum 2014-2020</w:t>
      </w:r>
    </w:p>
    <w:p w:rsidR="00BF3F8B" w:rsidRPr="00BF3F8B" w:rsidRDefault="00BF3F8B" w:rsidP="00BF3F8B">
      <w:pPr>
        <w:pStyle w:val="doc-ti"/>
        <w:spacing w:before="240" w:beforeAutospacing="0" w:after="120" w:afterAutospacing="0"/>
        <w:jc w:val="both"/>
        <w:rPr>
          <w:b/>
          <w:bCs/>
          <w:color w:val="000000"/>
          <w:lang w:val="de-DE"/>
        </w:rPr>
      </w:pPr>
    </w:p>
    <w:p w:rsidR="00BF3F8B" w:rsidRDefault="00BF3F8B" w:rsidP="00BF3F8B">
      <w:pPr>
        <w:pStyle w:val="Normal1"/>
        <w:spacing w:before="120" w:beforeAutospacing="0" w:after="0" w:afterAutospacing="0"/>
        <w:jc w:val="both"/>
        <w:rPr>
          <w:color w:val="000000"/>
          <w:lang w:val="de-DE"/>
        </w:rPr>
      </w:pPr>
      <w:r w:rsidRPr="00BF3F8B">
        <w:rPr>
          <w:color w:val="000000"/>
          <w:lang w:val="de-DE"/>
        </w:rPr>
        <w:t>DER RAT DER EUR</w:t>
      </w:r>
      <w:r>
        <w:rPr>
          <w:color w:val="000000"/>
          <w:lang w:val="de-DE"/>
        </w:rPr>
        <w:t>OPÄISCHEN UNION,</w:t>
      </w:r>
    </w:p>
    <w:p w:rsidR="00BF3F8B" w:rsidRPr="00BF3F8B" w:rsidRDefault="00BF3F8B" w:rsidP="00BF3F8B">
      <w:pPr>
        <w:pStyle w:val="Normal1"/>
        <w:spacing w:before="120" w:beforeAutospacing="0" w:after="0" w:afterAutospacing="0"/>
        <w:jc w:val="both"/>
        <w:rPr>
          <w:color w:val="000000"/>
          <w:lang w:val="de-DE"/>
        </w:rPr>
      </w:pPr>
      <w:r w:rsidRPr="00BF3F8B">
        <w:rPr>
          <w:color w:val="000000"/>
          <w:lang w:val="de-DE"/>
        </w:rPr>
        <w:t>gestützt auf den Vertrag über die Arbeitsweise der Europäischen Union, insbesondere auf Artikel 352,</w:t>
      </w:r>
    </w:p>
    <w:p w:rsid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w:t>
      </w:r>
    </w:p>
    <w:p w:rsidR="00BF3F8B" w:rsidRPr="00BF3F8B" w:rsidRDefault="00BF3F8B" w:rsidP="00BF3F8B">
      <w:pPr>
        <w:jc w:val="both"/>
        <w:rPr>
          <w:rFonts w:ascii="Times New Roman" w:hAnsi="Times New Roman" w:cs="Times New Roman"/>
          <w:color w:val="000000"/>
          <w:sz w:val="24"/>
          <w:szCs w:val="24"/>
          <w:shd w:val="clear" w:color="auto" w:fill="FFFFFF"/>
          <w:lang w:val="de-DE"/>
        </w:rPr>
      </w:pPr>
      <w:r w:rsidRPr="00BF3F8B">
        <w:rPr>
          <w:rFonts w:ascii="Times New Roman" w:hAnsi="Times New Roman" w:cs="Times New Roman"/>
          <w:color w:val="000000"/>
          <w:sz w:val="24"/>
          <w:szCs w:val="24"/>
          <w:shd w:val="clear" w:color="auto" w:fill="FFFFFF"/>
          <w:lang w:val="de-DE"/>
        </w:rPr>
        <w:t>nach Stellungnahme des Ausschusses der Regionen</w:t>
      </w:r>
      <w:r>
        <w:rPr>
          <w:rFonts w:ascii="Times New Roman" w:hAnsi="Times New Roman" w:cs="Times New Roman"/>
          <w:color w:val="000000"/>
          <w:sz w:val="24"/>
          <w:szCs w:val="24"/>
          <w:shd w:val="clear" w:color="auto" w:fill="FFFFFF"/>
          <w:lang w:val="de-DE"/>
        </w:rPr>
        <w:t>,</w:t>
      </w:r>
    </w:p>
    <w:p w:rsidR="00BF3F8B" w:rsidRPr="00BF3F8B" w:rsidRDefault="00BF3F8B" w:rsidP="00BF3F8B">
      <w:pPr>
        <w:pStyle w:val="Normal1"/>
        <w:spacing w:before="120" w:beforeAutospacing="0" w:after="0" w:afterAutospacing="0"/>
        <w:jc w:val="both"/>
        <w:rPr>
          <w:color w:val="000000"/>
          <w:lang w:val="de-DE"/>
        </w:rPr>
      </w:pPr>
      <w:r w:rsidRPr="00BF3F8B">
        <w:rPr>
          <w:color w:val="000000"/>
          <w:lang w:val="de-DE"/>
        </w:rPr>
        <w:t>gemäß einem besonderen Gesetzgebungsverfahren,</w:t>
      </w:r>
    </w:p>
    <w:p w:rsidR="00BF3F8B" w:rsidRPr="00BF3F8B" w:rsidRDefault="00BF3F8B" w:rsidP="00BF3F8B">
      <w:pPr>
        <w:pStyle w:val="Normal1"/>
        <w:spacing w:before="120" w:beforeAutospacing="0" w:after="0" w:afterAutospacing="0"/>
        <w:jc w:val="both"/>
        <w:rPr>
          <w:color w:val="000000"/>
          <w:lang w:val="de-DE"/>
        </w:rPr>
      </w:pPr>
      <w:r w:rsidRPr="00BF3F8B">
        <w:rPr>
          <w:color w:val="000000"/>
          <w:lang w:val="de-DE"/>
        </w:rPr>
        <w:t>in Erwägung nachstehender Gründe:</w:t>
      </w:r>
    </w:p>
    <w:p w:rsidR="00BF3F8B" w:rsidRPr="00BF3F8B" w:rsidRDefault="00BF3F8B" w:rsidP="00BF3F8B">
      <w:pPr>
        <w:jc w:val="both"/>
        <w:rPr>
          <w:rFonts w:ascii="Times New Roman" w:hAnsi="Times New Roman" w:cs="Times New Roman"/>
          <w:sz w:val="24"/>
          <w:szCs w:val="24"/>
          <w:lang w:val="de-DE"/>
        </w:rPr>
      </w:pPr>
    </w:p>
    <w:p w:rsidR="00BF3F8B" w:rsidRPr="00BF3F8B" w:rsidRDefault="00BF3F8B" w:rsidP="00BF3F8B">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(1) </w:t>
      </w:r>
      <w:r w:rsidRPr="00BF3F8B">
        <w:rPr>
          <w:rFonts w:ascii="Times New Roman" w:hAnsi="Times New Roman" w:cs="Times New Roman"/>
          <w:sz w:val="24"/>
          <w:szCs w:val="24"/>
          <w:lang w:val="de-DE"/>
        </w:rPr>
        <w:t xml:space="preserve">Im Einklang mit den Artikeln 10 und 11 des Vertrags über die Europäische Union haben alle Bürger das Recht, am demokratischen Leben der Union teilzunehmen, und sollten die EU-Organe den Bürgern und den repräsentativen Verbänden die Möglichkeit geben, ihre Ansichten in allen Bereichen des Handelns der Union öffentlich bekannt zu geben und auszutauschen, und einen offenen, transparenten und regelmäßigen Dialog mit den </w:t>
      </w:r>
      <w:proofErr w:type="spellStart"/>
      <w:r w:rsidRPr="00BF3F8B">
        <w:rPr>
          <w:rFonts w:ascii="Times New Roman" w:hAnsi="Times New Roman" w:cs="Times New Roman"/>
          <w:sz w:val="24"/>
          <w:szCs w:val="24"/>
          <w:lang w:val="de-DE"/>
        </w:rPr>
        <w:t>reprä</w:t>
      </w:r>
      <w:proofErr w:type="spellEnd"/>
      <w:r w:rsidRPr="00BF3F8B">
        <w:rPr>
          <w:rFonts w:ascii="Times New Roman" w:hAnsi="Times New Roman" w:cs="Times New Roman"/>
          <w:sz w:val="24"/>
          <w:szCs w:val="24"/>
          <w:lang w:val="de-DE"/>
        </w:rPr>
        <w:softHyphen/>
        <w:t xml:space="preserve"> </w:t>
      </w:r>
      <w:proofErr w:type="spellStart"/>
      <w:r w:rsidRPr="00BF3F8B">
        <w:rPr>
          <w:rFonts w:ascii="Times New Roman" w:hAnsi="Times New Roman" w:cs="Times New Roman"/>
          <w:sz w:val="24"/>
          <w:szCs w:val="24"/>
          <w:lang w:val="de-DE"/>
        </w:rPr>
        <w:t>sentativen</w:t>
      </w:r>
      <w:proofErr w:type="spellEnd"/>
      <w:r w:rsidRPr="00BF3F8B">
        <w:rPr>
          <w:rFonts w:ascii="Times New Roman" w:hAnsi="Times New Roman" w:cs="Times New Roman"/>
          <w:sz w:val="24"/>
          <w:szCs w:val="24"/>
          <w:lang w:val="de-DE"/>
        </w:rPr>
        <w:t xml:space="preserve"> Verbänden und der Zivilgesellschaft pflegen.</w:t>
      </w:r>
    </w:p>
    <w:p w:rsidR="00BF3F8B" w:rsidRP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w:t>
      </w:r>
    </w:p>
    <w:p w:rsidR="00BF3F8B" w:rsidRP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(4) Um Europa seinen Bürgern näherzubringen und ihnen die uneingeschränkte Beteiligung am Aufbau einer immer enger verflochtenen Union zu ermöglichen, bedarf es vielfältiger Aktionen und koordinierter Bemühungen im Rahmen von Aktivitäten auf transnationaler und Unionsebene. Die europäische Bürgerinitiative ist eine einzigartige Möglichkeit, die Bürger unmittelbar an der Gestaltung der Rechtsvorschriften der</w:t>
      </w:r>
      <w:r w:rsidR="00E34A7C">
        <w:rPr>
          <w:rFonts w:ascii="Times New Roman" w:hAnsi="Times New Roman" w:cs="Times New Roman"/>
          <w:sz w:val="24"/>
          <w:szCs w:val="24"/>
          <w:lang w:val="de-DE"/>
        </w:rPr>
        <w:t xml:space="preserve"> Union mitwirken zu lassen</w:t>
      </w:r>
      <w:r w:rsidRPr="00BF3F8B">
        <w:rPr>
          <w:rFonts w:ascii="Times New Roman" w:hAnsi="Times New Roman" w:cs="Times New Roman"/>
          <w:sz w:val="24"/>
          <w:szCs w:val="24"/>
          <w:lang w:val="de-DE"/>
        </w:rPr>
        <w:t>.</w:t>
      </w:r>
    </w:p>
    <w:p w:rsidR="00BF3F8B" w:rsidRP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w:t>
      </w:r>
    </w:p>
    <w:p w:rsidR="00BF3F8B" w:rsidRPr="002B2087" w:rsidRDefault="00BF3F8B" w:rsidP="00BF3F8B">
      <w:pPr>
        <w:jc w:val="both"/>
        <w:rPr>
          <w:rFonts w:ascii="Times New Roman" w:hAnsi="Times New Roman" w:cs="Times New Roman"/>
          <w:color w:val="FF0000"/>
          <w:sz w:val="24"/>
          <w:szCs w:val="24"/>
          <w:lang w:val="de-DE"/>
        </w:rPr>
      </w:pPr>
      <w:r w:rsidRPr="00BF3F8B">
        <w:rPr>
          <w:rFonts w:ascii="Times New Roman" w:hAnsi="Times New Roman" w:cs="Times New Roman"/>
          <w:sz w:val="24"/>
          <w:szCs w:val="24"/>
          <w:lang w:val="de-DE"/>
        </w:rPr>
        <w:t xml:space="preserve">(12) Die Beitritts-, Bewerber- und potenziellen Bewerberländer, die von einer Heranführungsstrategie profitieren, sowie die EFTA-Staaten, die Mitglieder des EWR sind, werden gemäß den mit diesen Ländern geschlossenen Abkommen als potenzielle Teilnehmer an Unionsprogrammen anerkannt. </w:t>
      </w:r>
      <w:r w:rsidRPr="002B2087">
        <w:rPr>
          <w:rFonts w:ascii="Times New Roman" w:hAnsi="Times New Roman" w:cs="Times New Roman"/>
          <w:color w:val="FF0000"/>
          <w:sz w:val="24"/>
          <w:szCs w:val="24"/>
          <w:lang w:val="de-DE"/>
        </w:rPr>
        <w:t>Außerdem sind gemäß Artikel 58 des Beschlusses 2001/822/EG des Ra</w:t>
      </w:r>
      <w:r w:rsidR="002B2087" w:rsidRPr="002B2087">
        <w:rPr>
          <w:rFonts w:ascii="Times New Roman" w:hAnsi="Times New Roman" w:cs="Times New Roman"/>
          <w:color w:val="FF0000"/>
          <w:sz w:val="24"/>
          <w:szCs w:val="24"/>
          <w:lang w:val="de-DE"/>
        </w:rPr>
        <w:t xml:space="preserve">tes </w:t>
      </w:r>
      <w:r w:rsidRPr="002B2087">
        <w:rPr>
          <w:rFonts w:ascii="Times New Roman" w:hAnsi="Times New Roman" w:cs="Times New Roman"/>
          <w:color w:val="FF0000"/>
          <w:sz w:val="24"/>
          <w:szCs w:val="24"/>
          <w:lang w:val="de-DE"/>
        </w:rPr>
        <w:t>die überseeischen Länder und Gebiete zur Teilnahme an dem Programm berechtigt.</w:t>
      </w:r>
    </w:p>
    <w:p w:rsidR="00BF3F8B" w:rsidRP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w:t>
      </w:r>
    </w:p>
    <w:p w:rsidR="00BF3F8B" w:rsidRP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 xml:space="preserve">(14) Die im Rahmen dieser Verordnung den Kommunikationsmaßnahmen zugewiesenen Ressourcen könnten darüber hinaus zur institutionellen Kommunikation der politischen </w:t>
      </w:r>
      <w:r w:rsidRPr="00BF3F8B">
        <w:rPr>
          <w:rFonts w:ascii="Times New Roman" w:hAnsi="Times New Roman" w:cs="Times New Roman"/>
          <w:sz w:val="24"/>
          <w:szCs w:val="24"/>
          <w:lang w:val="de-DE"/>
        </w:rPr>
        <w:lastRenderedPageBreak/>
        <w:t>Prioritäten der Union beitragen, soweit sie in Zusammenhang mit den allgemeinen Zielen dieser Verordnung stehen.</w:t>
      </w:r>
    </w:p>
    <w:p w:rsidR="00BF3F8B" w:rsidRPr="002B2087" w:rsidRDefault="00BF3F8B" w:rsidP="002B2087">
      <w:pPr>
        <w:jc w:val="both"/>
        <w:rPr>
          <w:rFonts w:ascii="Times New Roman" w:hAnsi="Times New Roman" w:cs="Times New Roman"/>
          <w:sz w:val="24"/>
          <w:szCs w:val="24"/>
          <w:lang w:val="de-DE"/>
        </w:rPr>
      </w:pPr>
      <w:r w:rsidRPr="002B2087">
        <w:rPr>
          <w:rFonts w:ascii="Times New Roman" w:hAnsi="Times New Roman" w:cs="Times New Roman"/>
          <w:sz w:val="24"/>
          <w:szCs w:val="24"/>
          <w:lang w:val="de-DE"/>
        </w:rPr>
        <w:t>…</w:t>
      </w:r>
    </w:p>
    <w:p w:rsidR="00BF3F8B" w:rsidRP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HAT FOLGENDE VERORDNUNG ERLASSEN:</w:t>
      </w:r>
    </w:p>
    <w:p w:rsidR="00BF3F8B" w:rsidRPr="00A67D5A" w:rsidRDefault="00BF3F8B" w:rsidP="00A67D5A">
      <w:pPr>
        <w:rPr>
          <w:rFonts w:ascii="Times New Roman" w:hAnsi="Times New Roman" w:cs="Times New Roman"/>
          <w:sz w:val="24"/>
          <w:szCs w:val="24"/>
          <w:lang w:val="de-DE"/>
        </w:rPr>
      </w:pPr>
      <w:r w:rsidRPr="00A67D5A">
        <w:rPr>
          <w:rFonts w:ascii="Times New Roman" w:hAnsi="Times New Roman" w:cs="Times New Roman"/>
          <w:sz w:val="24"/>
          <w:szCs w:val="24"/>
          <w:lang w:val="de-DE"/>
        </w:rPr>
        <w:t>…</w:t>
      </w:r>
    </w:p>
    <w:p w:rsidR="00BF3F8B" w:rsidRPr="00BF3F8B" w:rsidRDefault="00BF3F8B" w:rsidP="00BF3F8B">
      <w:pPr>
        <w:jc w:val="center"/>
        <w:rPr>
          <w:rFonts w:ascii="Times New Roman" w:hAnsi="Times New Roman" w:cs="Times New Roman"/>
          <w:i/>
          <w:sz w:val="24"/>
          <w:szCs w:val="24"/>
          <w:lang w:val="de-DE"/>
        </w:rPr>
      </w:pPr>
      <w:r w:rsidRPr="00BF3F8B">
        <w:rPr>
          <w:rFonts w:ascii="Times New Roman" w:hAnsi="Times New Roman" w:cs="Times New Roman"/>
          <w:i/>
          <w:sz w:val="24"/>
          <w:szCs w:val="24"/>
          <w:lang w:val="de-DE"/>
        </w:rPr>
        <w:t>Artikel 2</w:t>
      </w:r>
    </w:p>
    <w:p w:rsidR="00BF3F8B" w:rsidRPr="00BF3F8B" w:rsidRDefault="00BF3F8B" w:rsidP="00BF3F8B">
      <w:pPr>
        <w:jc w:val="center"/>
        <w:rPr>
          <w:rFonts w:ascii="Times New Roman" w:hAnsi="Times New Roman" w:cs="Times New Roman"/>
          <w:b/>
          <w:sz w:val="24"/>
          <w:szCs w:val="24"/>
          <w:lang w:val="de-DE"/>
        </w:rPr>
      </w:pPr>
      <w:r w:rsidRPr="00BF3F8B">
        <w:rPr>
          <w:rFonts w:ascii="Times New Roman" w:hAnsi="Times New Roman" w:cs="Times New Roman"/>
          <w:b/>
          <w:sz w:val="24"/>
          <w:szCs w:val="24"/>
          <w:lang w:val="de-DE"/>
        </w:rPr>
        <w:t xml:space="preserve">Einzelziele des Programms </w:t>
      </w:r>
      <w:r>
        <w:rPr>
          <w:rFonts w:ascii="Times New Roman" w:hAnsi="Times New Roman" w:cs="Times New Roman"/>
          <w:b/>
          <w:sz w:val="24"/>
          <w:szCs w:val="24"/>
          <w:lang w:val="de-DE"/>
        </w:rPr>
        <w:t xml:space="preserve">des </w:t>
      </w:r>
      <w:r w:rsidRPr="00BF3F8B">
        <w:rPr>
          <w:rFonts w:ascii="Times New Roman" w:hAnsi="Times New Roman" w:cs="Times New Roman"/>
          <w:b/>
          <w:sz w:val="24"/>
          <w:szCs w:val="24"/>
          <w:lang w:val="de-DE"/>
        </w:rPr>
        <w:t>Programms</w:t>
      </w:r>
    </w:p>
    <w:p w:rsidR="00BF3F8B" w:rsidRP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 xml:space="preserve">Das Programm umfasst die folgenden Einzelziele, die im Rahmen von Aktionen auf transnationaler Ebene oder mit einer europäischen Dimension umgesetzt werden: </w:t>
      </w:r>
    </w:p>
    <w:p w:rsidR="00BF3F8B" w:rsidRP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 xml:space="preserve">a) Stärkere Sensibilisierung für das Geschichtsbewusstsein, die gemeinsame Geschichte und gemeinsamen Werte sowie für das Ziel der Europäischen Union, den Frieden, die Werte der Union und das Wohlergehen ihrer Völker zu fördern, indem Debatten, Reflexion und die Bildung von Netzen angeregt werden; </w:t>
      </w:r>
    </w:p>
    <w:p w:rsidR="00BF3F8B" w:rsidRP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b) Stärkung der demokratischen Bürgerbeteiligung auf Unionsebene, indem den Bürgern der politische Entscheidungsprozess in der Union nähergebracht wird und Möglichkeiten für gesellschaftliches und interkulturelles Engagement und Freiwilligentätigkeit auf Unionsebene gefördert werden.</w:t>
      </w:r>
    </w:p>
    <w:p w:rsidR="00BF3F8B" w:rsidRPr="00BF3F8B" w:rsidRDefault="00BF3F8B" w:rsidP="00A67D5A">
      <w:pPr>
        <w:rPr>
          <w:rFonts w:ascii="Times New Roman" w:hAnsi="Times New Roman" w:cs="Times New Roman"/>
          <w:sz w:val="24"/>
          <w:szCs w:val="24"/>
          <w:lang w:val="de-DE"/>
        </w:rPr>
      </w:pPr>
      <w:r w:rsidRPr="00BF3F8B">
        <w:rPr>
          <w:rFonts w:ascii="Times New Roman" w:hAnsi="Times New Roman" w:cs="Times New Roman"/>
          <w:sz w:val="24"/>
          <w:szCs w:val="24"/>
          <w:lang w:val="de-DE"/>
        </w:rPr>
        <w:t>…</w:t>
      </w:r>
    </w:p>
    <w:p w:rsidR="00BF3F8B" w:rsidRPr="00BF3F8B" w:rsidRDefault="00BF3F8B" w:rsidP="00BF3F8B">
      <w:pPr>
        <w:jc w:val="center"/>
        <w:rPr>
          <w:rFonts w:ascii="Times New Roman" w:hAnsi="Times New Roman" w:cs="Times New Roman"/>
          <w:i/>
          <w:sz w:val="24"/>
          <w:szCs w:val="24"/>
          <w:lang w:val="de-DE"/>
        </w:rPr>
      </w:pPr>
      <w:r w:rsidRPr="00BF3F8B">
        <w:rPr>
          <w:rFonts w:ascii="Times New Roman" w:hAnsi="Times New Roman" w:cs="Times New Roman"/>
          <w:i/>
          <w:sz w:val="24"/>
          <w:szCs w:val="24"/>
          <w:lang w:val="de-DE"/>
        </w:rPr>
        <w:t>Artikel 6</w:t>
      </w:r>
    </w:p>
    <w:p w:rsidR="00BF3F8B" w:rsidRPr="00BF3F8B" w:rsidRDefault="00BF3F8B" w:rsidP="00BF3F8B">
      <w:pPr>
        <w:jc w:val="center"/>
        <w:rPr>
          <w:rFonts w:ascii="Times New Roman" w:hAnsi="Times New Roman" w:cs="Times New Roman"/>
          <w:b/>
          <w:sz w:val="24"/>
          <w:szCs w:val="24"/>
          <w:lang w:val="de-DE"/>
        </w:rPr>
      </w:pPr>
      <w:r w:rsidRPr="00BF3F8B">
        <w:rPr>
          <w:rFonts w:ascii="Times New Roman" w:hAnsi="Times New Roman" w:cs="Times New Roman"/>
          <w:b/>
          <w:sz w:val="24"/>
          <w:szCs w:val="24"/>
          <w:lang w:val="de-DE"/>
        </w:rPr>
        <w:t>Zugang zum Programm</w:t>
      </w:r>
    </w:p>
    <w:p w:rsidR="00BF3F8B" w:rsidRP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Das Programm steht allen Akteuren offen, die die europäische Bürgerschaft und Integration fördern, insbesondere lokalen und regionalen Behörden und Organisationen, Städtepartnerschaftsausschüssen, Forschungseinrichtungen, die sich mit europäischen öffentlichen Politiken beschäftigen (Think-Tanks), Organisationen der Zivilgesellschaft (einschließlich Verbänden von Überlebenden) sowie Kultur-, Jugend-, Bildungs- und Forschungsorganisationen.</w:t>
      </w:r>
    </w:p>
    <w:p w:rsidR="00BF3F8B" w:rsidRPr="00BF3F8B" w:rsidRDefault="00BF3F8B" w:rsidP="00A67D5A">
      <w:pPr>
        <w:rPr>
          <w:rFonts w:ascii="Times New Roman" w:hAnsi="Times New Roman" w:cs="Times New Roman"/>
          <w:sz w:val="24"/>
          <w:szCs w:val="24"/>
          <w:lang w:val="de-DE"/>
        </w:rPr>
      </w:pPr>
      <w:r w:rsidRPr="00BF3F8B">
        <w:rPr>
          <w:rFonts w:ascii="Times New Roman" w:hAnsi="Times New Roman" w:cs="Times New Roman"/>
          <w:sz w:val="24"/>
          <w:szCs w:val="24"/>
          <w:lang w:val="de-DE"/>
        </w:rPr>
        <w:t>…</w:t>
      </w:r>
    </w:p>
    <w:p w:rsidR="00BF3F8B" w:rsidRPr="00BF3F8B" w:rsidRDefault="00BF3F8B" w:rsidP="00BF3F8B">
      <w:pPr>
        <w:jc w:val="center"/>
        <w:rPr>
          <w:rFonts w:ascii="Times New Roman" w:hAnsi="Times New Roman" w:cs="Times New Roman"/>
          <w:i/>
          <w:sz w:val="24"/>
          <w:szCs w:val="24"/>
          <w:lang w:val="de-DE"/>
        </w:rPr>
      </w:pPr>
      <w:r w:rsidRPr="00BF3F8B">
        <w:rPr>
          <w:rFonts w:ascii="Times New Roman" w:hAnsi="Times New Roman" w:cs="Times New Roman"/>
          <w:i/>
          <w:sz w:val="24"/>
          <w:szCs w:val="24"/>
          <w:lang w:val="de-DE"/>
        </w:rPr>
        <w:t>Artikel 8</w:t>
      </w:r>
    </w:p>
    <w:p w:rsidR="00BF3F8B" w:rsidRPr="00BF3F8B" w:rsidRDefault="00BF3F8B" w:rsidP="00BF3F8B">
      <w:pPr>
        <w:jc w:val="center"/>
        <w:rPr>
          <w:rFonts w:ascii="Times New Roman" w:hAnsi="Times New Roman" w:cs="Times New Roman"/>
          <w:b/>
          <w:sz w:val="24"/>
          <w:szCs w:val="24"/>
          <w:lang w:val="de-DE"/>
        </w:rPr>
      </w:pPr>
      <w:r w:rsidRPr="00BF3F8B">
        <w:rPr>
          <w:rFonts w:ascii="Times New Roman" w:hAnsi="Times New Roman" w:cs="Times New Roman"/>
          <w:b/>
          <w:sz w:val="24"/>
          <w:szCs w:val="24"/>
          <w:lang w:val="de-DE"/>
        </w:rPr>
        <w:t>Durchführung des Programms</w:t>
      </w:r>
    </w:p>
    <w:p w:rsidR="00BF3F8B" w:rsidRP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 xml:space="preserve">(1) Bei der Durchführung des Programms beachtet die Kommission die Bestimmungen der Haushaltsordnung. </w:t>
      </w:r>
    </w:p>
    <w:p w:rsidR="00BF3F8B" w:rsidRP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 xml:space="preserve">(2) Zur Durchführung des Programms nimmt die Kommission mittels Durchführungsrechtsakten im Einklang mit dem Beratungsverfahren nach Artikel 9 Absatz 2 </w:t>
      </w:r>
      <w:r w:rsidRPr="00BF3F8B">
        <w:rPr>
          <w:rFonts w:ascii="Times New Roman" w:hAnsi="Times New Roman" w:cs="Times New Roman"/>
          <w:sz w:val="24"/>
          <w:szCs w:val="24"/>
          <w:lang w:val="de-DE"/>
        </w:rPr>
        <w:lastRenderedPageBreak/>
        <w:t xml:space="preserve">Jahresarbeitsprogramme an. In den Jahresarbeitsprogrammen sind die Ziele, die erwarteten Ergebnisse, die Umsetzungsmethode und der Gesamtbetrag des Finanzierungsplans aufgeführt. Ferner sind darin eine Beschreibung der zu finanzierenden Aktionen, der jeder Aktion zugewiesene Betrag und ein </w:t>
      </w:r>
      <w:proofErr w:type="spellStart"/>
      <w:r w:rsidRPr="00BF3F8B">
        <w:rPr>
          <w:rFonts w:ascii="Times New Roman" w:hAnsi="Times New Roman" w:cs="Times New Roman"/>
          <w:sz w:val="24"/>
          <w:szCs w:val="24"/>
          <w:lang w:val="de-DE"/>
        </w:rPr>
        <w:t>indikativer</w:t>
      </w:r>
      <w:proofErr w:type="spellEnd"/>
      <w:r w:rsidRPr="00BF3F8B">
        <w:rPr>
          <w:rFonts w:ascii="Times New Roman" w:hAnsi="Times New Roman" w:cs="Times New Roman"/>
          <w:sz w:val="24"/>
          <w:szCs w:val="24"/>
          <w:lang w:val="de-DE"/>
        </w:rPr>
        <w:t xml:space="preserve"> Umsetzungszeitplan enthalten. Im Zusammenhang mit Finanzhilfen enthalten die Jahresarbeitsprogramme die Prioritäten, die wichtigsten Evaluierungskriterien und die Höchstsätze für die </w:t>
      </w:r>
      <w:proofErr w:type="spellStart"/>
      <w:r w:rsidRPr="00BF3F8B">
        <w:rPr>
          <w:rFonts w:ascii="Times New Roman" w:hAnsi="Times New Roman" w:cs="Times New Roman"/>
          <w:sz w:val="24"/>
          <w:szCs w:val="24"/>
          <w:lang w:val="de-DE"/>
        </w:rPr>
        <w:t>Kofinanzierung</w:t>
      </w:r>
      <w:proofErr w:type="spellEnd"/>
      <w:r w:rsidRPr="00BF3F8B">
        <w:rPr>
          <w:rFonts w:ascii="Times New Roman" w:hAnsi="Times New Roman" w:cs="Times New Roman"/>
          <w:sz w:val="24"/>
          <w:szCs w:val="24"/>
          <w:lang w:val="de-DE"/>
        </w:rPr>
        <w:t>.</w:t>
      </w:r>
    </w:p>
    <w:p w:rsidR="00BF3F8B" w:rsidRPr="00BF3F8B" w:rsidRDefault="00BF3F8B" w:rsidP="00A67D5A">
      <w:pPr>
        <w:rPr>
          <w:rFonts w:ascii="Times New Roman" w:hAnsi="Times New Roman" w:cs="Times New Roman"/>
          <w:sz w:val="24"/>
          <w:szCs w:val="24"/>
          <w:lang w:val="de-DE"/>
        </w:rPr>
      </w:pPr>
      <w:r w:rsidRPr="00BF3F8B">
        <w:rPr>
          <w:rFonts w:ascii="Times New Roman" w:hAnsi="Times New Roman" w:cs="Times New Roman"/>
          <w:sz w:val="24"/>
          <w:szCs w:val="24"/>
          <w:lang w:val="de-DE"/>
        </w:rPr>
        <w:t>…</w:t>
      </w:r>
    </w:p>
    <w:p w:rsidR="00BF3F8B" w:rsidRPr="00BF3F8B" w:rsidRDefault="00BF3F8B" w:rsidP="00BF3F8B">
      <w:pPr>
        <w:jc w:val="center"/>
        <w:rPr>
          <w:rFonts w:ascii="Times New Roman" w:hAnsi="Times New Roman" w:cs="Times New Roman"/>
          <w:i/>
          <w:sz w:val="24"/>
          <w:szCs w:val="24"/>
          <w:lang w:val="de-DE"/>
        </w:rPr>
      </w:pPr>
      <w:r w:rsidRPr="00BF3F8B">
        <w:rPr>
          <w:rFonts w:ascii="Times New Roman" w:hAnsi="Times New Roman" w:cs="Times New Roman"/>
          <w:i/>
          <w:sz w:val="24"/>
          <w:szCs w:val="24"/>
          <w:lang w:val="de-DE"/>
        </w:rPr>
        <w:t>Artikel 17</w:t>
      </w:r>
    </w:p>
    <w:p w:rsidR="00BF3F8B" w:rsidRPr="00BF3F8B" w:rsidRDefault="00BF3F8B" w:rsidP="00BF3F8B">
      <w:pPr>
        <w:jc w:val="center"/>
        <w:rPr>
          <w:rFonts w:ascii="Times New Roman" w:hAnsi="Times New Roman" w:cs="Times New Roman"/>
          <w:b/>
          <w:sz w:val="24"/>
          <w:szCs w:val="24"/>
          <w:lang w:val="de-DE"/>
        </w:rPr>
      </w:pPr>
      <w:r w:rsidRPr="00BF3F8B">
        <w:rPr>
          <w:rFonts w:ascii="Times New Roman" w:hAnsi="Times New Roman" w:cs="Times New Roman"/>
          <w:b/>
          <w:sz w:val="24"/>
          <w:szCs w:val="24"/>
          <w:lang w:val="de-DE"/>
        </w:rPr>
        <w:t>Inkrafttreten</w:t>
      </w:r>
    </w:p>
    <w:p w:rsid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 xml:space="preserve">Diese Verordnung tritt am Tag ihrer Veröffentlichung im Amtsblatt der Europäischen Union in Kraft. </w:t>
      </w:r>
    </w:p>
    <w:p w:rsid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 xml:space="preserve">Sie gilt ab 1. Januar 2014. </w:t>
      </w:r>
    </w:p>
    <w:p w:rsid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 xml:space="preserve">Diese Verordnung ist in allen ihren Teilen verbindlich und gilt unmittelbar in jedem Mitgliedstaat. </w:t>
      </w:r>
    </w:p>
    <w:p w:rsidR="00BF3F8B" w:rsidRPr="00BF3F8B" w:rsidRDefault="00BF3F8B" w:rsidP="00BF3F8B">
      <w:pPr>
        <w:jc w:val="both"/>
        <w:rPr>
          <w:rFonts w:ascii="Times New Roman" w:hAnsi="Times New Roman" w:cs="Times New Roman"/>
          <w:sz w:val="24"/>
          <w:szCs w:val="24"/>
          <w:lang w:val="de-DE"/>
        </w:rPr>
      </w:pPr>
      <w:r w:rsidRPr="00BF3F8B">
        <w:rPr>
          <w:rFonts w:ascii="Times New Roman" w:hAnsi="Times New Roman" w:cs="Times New Roman"/>
          <w:sz w:val="24"/>
          <w:szCs w:val="24"/>
          <w:lang w:val="de-DE"/>
        </w:rPr>
        <w:t xml:space="preserve">Geschehen zu Luxemburg am 14. April 2014. </w:t>
      </w:r>
    </w:p>
    <w:sectPr w:rsidR="00BF3F8B" w:rsidRPr="00BF3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448"/>
    <w:multiLevelType w:val="hybridMultilevel"/>
    <w:tmpl w:val="0A5E36E8"/>
    <w:lvl w:ilvl="0" w:tplc="A22E3F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F43B6D"/>
    <w:multiLevelType w:val="hybridMultilevel"/>
    <w:tmpl w:val="6130DD5A"/>
    <w:lvl w:ilvl="0" w:tplc="1AA45E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F8B"/>
    <w:rsid w:val="000F0BB1"/>
    <w:rsid w:val="001955FD"/>
    <w:rsid w:val="002B2087"/>
    <w:rsid w:val="008A5973"/>
    <w:rsid w:val="00A67D5A"/>
    <w:rsid w:val="00BF3F8B"/>
    <w:rsid w:val="00E34A7C"/>
    <w:rsid w:val="00F40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oc-ti">
    <w:name w:val="doc-ti"/>
    <w:basedOn w:val="Normal"/>
    <w:rsid w:val="00BF3F8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apple-converted-space">
    <w:name w:val="apple-converted-space"/>
    <w:basedOn w:val="VarsaylanParagrafYazTipi"/>
    <w:rsid w:val="00BF3F8B"/>
  </w:style>
  <w:style w:type="paragraph" w:customStyle="1" w:styleId="Normal1">
    <w:name w:val="Normal1"/>
    <w:basedOn w:val="Normal"/>
    <w:rsid w:val="00BF3F8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ListeParagraf">
    <w:name w:val="List Paragraph"/>
    <w:basedOn w:val="Normal"/>
    <w:uiPriority w:val="34"/>
    <w:qFormat/>
    <w:rsid w:val="00BF3F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oc-ti">
    <w:name w:val="doc-ti"/>
    <w:basedOn w:val="Normal"/>
    <w:rsid w:val="00BF3F8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apple-converted-space">
    <w:name w:val="apple-converted-space"/>
    <w:basedOn w:val="VarsaylanParagrafYazTipi"/>
    <w:rsid w:val="00BF3F8B"/>
  </w:style>
  <w:style w:type="paragraph" w:customStyle="1" w:styleId="Normal1">
    <w:name w:val="Normal1"/>
    <w:basedOn w:val="Normal"/>
    <w:rsid w:val="00BF3F8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ListeParagraf">
    <w:name w:val="List Paragraph"/>
    <w:basedOn w:val="Normal"/>
    <w:uiPriority w:val="34"/>
    <w:qFormat/>
    <w:rsid w:val="00BF3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80984">
      <w:bodyDiv w:val="1"/>
      <w:marLeft w:val="0"/>
      <w:marRight w:val="0"/>
      <w:marTop w:val="0"/>
      <w:marBottom w:val="0"/>
      <w:divBdr>
        <w:top w:val="none" w:sz="0" w:space="0" w:color="auto"/>
        <w:left w:val="none" w:sz="0" w:space="0" w:color="auto"/>
        <w:bottom w:val="none" w:sz="0" w:space="0" w:color="auto"/>
        <w:right w:val="none" w:sz="0" w:space="0" w:color="auto"/>
      </w:divBdr>
    </w:div>
    <w:div w:id="1528444164">
      <w:bodyDiv w:val="1"/>
      <w:marLeft w:val="0"/>
      <w:marRight w:val="0"/>
      <w:marTop w:val="0"/>
      <w:marBottom w:val="0"/>
      <w:divBdr>
        <w:top w:val="none" w:sz="0" w:space="0" w:color="auto"/>
        <w:left w:val="none" w:sz="0" w:space="0" w:color="auto"/>
        <w:bottom w:val="none" w:sz="0" w:space="0" w:color="auto"/>
        <w:right w:val="none" w:sz="0" w:space="0" w:color="auto"/>
      </w:divBdr>
    </w:div>
    <w:div w:id="159836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 Durak</dc:creator>
  <cp:lastModifiedBy>Sinem Cevik</cp:lastModifiedBy>
  <cp:revision>2</cp:revision>
  <dcterms:created xsi:type="dcterms:W3CDTF">2015-12-02T10:05:00Z</dcterms:created>
  <dcterms:modified xsi:type="dcterms:W3CDTF">2015-12-02T10:05:00Z</dcterms:modified>
</cp:coreProperties>
</file>