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D8" w:rsidRPr="005D5101" w:rsidRDefault="00322CD8" w:rsidP="00322CD8">
      <w:pPr>
        <w:spacing w:after="0" w:line="240" w:lineRule="auto"/>
        <w:jc w:val="center"/>
        <w:rPr>
          <w:rFonts w:ascii="Times New Roman" w:hAnsi="Times New Roman" w:cs="Times New Roman"/>
          <w:sz w:val="24"/>
          <w:szCs w:val="24"/>
          <w:lang w:val="fr-FR"/>
        </w:rPr>
      </w:pPr>
      <w:bookmarkStart w:id="0" w:name="_GoBack"/>
      <w:bookmarkEnd w:id="0"/>
      <w:r w:rsidRPr="005D5101">
        <w:rPr>
          <w:rFonts w:ascii="Times New Roman" w:hAnsi="Times New Roman" w:cs="Times New Roman"/>
          <w:b/>
          <w:bCs/>
          <w:sz w:val="24"/>
          <w:szCs w:val="24"/>
          <w:lang w:val="fr-FR"/>
        </w:rPr>
        <w:t>Un cadre de qualité pour les services d'intérêt général en Europe</w:t>
      </w:r>
    </w:p>
    <w:p w:rsidR="00322CD8" w:rsidRPr="005D5101" w:rsidRDefault="00322CD8" w:rsidP="00AD3094">
      <w:pPr>
        <w:spacing w:after="0" w:line="240" w:lineRule="auto"/>
        <w:jc w:val="both"/>
        <w:rPr>
          <w:rFonts w:ascii="Times New Roman" w:hAnsi="Times New Roman" w:cs="Times New Roman"/>
          <w:sz w:val="24"/>
          <w:szCs w:val="24"/>
          <w:lang w:val="fr-FR"/>
        </w:rPr>
      </w:pPr>
    </w:p>
    <w:p w:rsidR="009B3299" w:rsidRPr="005D5101" w:rsidRDefault="00AD3094"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La situation économique et financière actuelle met plus que jamais en évidence le rôle fondamental des services d'intérêt général (SIG) dans l'Union européenne (UE). Dans des domaines tels que les soins de santé, l'aide à l'enfance ou la prise en charge des personnes âgées, l'aide aux personnes handicapées ou le logement social, ces services constituent un filet de sécurité essentiel pour les citoyens et contribuent à la promotion de la cohésion sociale. Les services d'intérêt général fournis dans les secteurs de l'éducation, de la formation et des services à l'emploi jouent un rôle clé dans la réalisation des objectifs fixés en matière de croissance et d'emploi.</w:t>
      </w:r>
    </w:p>
    <w:p w:rsidR="003F2148" w:rsidRPr="005D5101" w:rsidRDefault="003F2148" w:rsidP="002677ED">
      <w:pPr>
        <w:spacing w:after="0" w:line="240" w:lineRule="auto"/>
        <w:jc w:val="both"/>
        <w:rPr>
          <w:rFonts w:ascii="Times New Roman" w:hAnsi="Times New Roman" w:cs="Times New Roman"/>
          <w:sz w:val="24"/>
          <w:szCs w:val="24"/>
          <w:lang w:val="fr-FR"/>
        </w:rPr>
      </w:pPr>
    </w:p>
    <w:p w:rsidR="003F2148" w:rsidRPr="005D5101" w:rsidRDefault="003F2148"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Bien que le traité ait toujours garanti aux États membres la souplesse requise pour pouvoir offrir de tels services de qualité, le traité de Lisbonne a introduit de nouvelles dispositions: l'article 14 du traité sur le fonctionnement de l'Union européenne (TFUE) et le protocole n° 26 sur les services d'intérêt général.</w:t>
      </w:r>
    </w:p>
    <w:p w:rsidR="003F2148" w:rsidRPr="005D5101" w:rsidRDefault="003F2148" w:rsidP="002677ED">
      <w:pPr>
        <w:spacing w:after="0" w:line="240" w:lineRule="auto"/>
        <w:jc w:val="both"/>
        <w:rPr>
          <w:rFonts w:ascii="Times New Roman" w:hAnsi="Times New Roman" w:cs="Times New Roman"/>
          <w:sz w:val="24"/>
          <w:szCs w:val="24"/>
          <w:lang w:val="fr-FR"/>
        </w:rPr>
      </w:pPr>
    </w:p>
    <w:p w:rsidR="00AD3094" w:rsidRPr="005D5101" w:rsidRDefault="00AD3094"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Le traité de Lisbonne</w:t>
      </w:r>
      <w:r w:rsidR="003F2148" w:rsidRPr="005D5101">
        <w:rPr>
          <w:rFonts w:ascii="Times New Roman" w:hAnsi="Times New Roman" w:cs="Times New Roman"/>
          <w:sz w:val="24"/>
          <w:szCs w:val="24"/>
          <w:lang w:val="fr-FR"/>
        </w:rPr>
        <w:t xml:space="preserve"> et</w:t>
      </w:r>
      <w:r w:rsidRPr="005D5101">
        <w:rPr>
          <w:rFonts w:ascii="Times New Roman" w:hAnsi="Times New Roman" w:cs="Times New Roman"/>
          <w:sz w:val="24"/>
          <w:szCs w:val="24"/>
          <w:lang w:val="fr-FR"/>
        </w:rPr>
        <w:t xml:space="preserve"> le protocole n° 26 soulignent clairement l'importance des services d'intérêt général</w:t>
      </w:r>
      <w:r w:rsidR="003F2148" w:rsidRPr="005D5101">
        <w:rPr>
          <w:rFonts w:ascii="Times New Roman" w:hAnsi="Times New Roman" w:cs="Times New Roman"/>
          <w:sz w:val="24"/>
          <w:szCs w:val="24"/>
          <w:lang w:val="fr-FR"/>
        </w:rPr>
        <w:t xml:space="preserve"> </w:t>
      </w:r>
      <w:r w:rsidRPr="005D5101">
        <w:rPr>
          <w:rFonts w:ascii="Times New Roman" w:hAnsi="Times New Roman" w:cs="Times New Roman"/>
          <w:sz w:val="24"/>
          <w:szCs w:val="24"/>
          <w:lang w:val="fr-FR"/>
        </w:rPr>
        <w:t xml:space="preserve">dans l'UE et exposent les principes qui président à l'approche de l'UE concernant ces services. Ils constituent une base solide en vue de la mise en </w:t>
      </w:r>
      <w:proofErr w:type="spellStart"/>
      <w:r w:rsidRPr="005D5101">
        <w:rPr>
          <w:rFonts w:ascii="Times New Roman" w:hAnsi="Times New Roman" w:cs="Times New Roman"/>
          <w:sz w:val="24"/>
          <w:szCs w:val="24"/>
          <w:lang w:val="fr-FR"/>
        </w:rPr>
        <w:t>oeuvre</w:t>
      </w:r>
      <w:proofErr w:type="spellEnd"/>
      <w:r w:rsidRPr="005D5101">
        <w:rPr>
          <w:rFonts w:ascii="Times New Roman" w:hAnsi="Times New Roman" w:cs="Times New Roman"/>
          <w:sz w:val="24"/>
          <w:szCs w:val="24"/>
          <w:lang w:val="fr-FR"/>
        </w:rPr>
        <w:t xml:space="preserve"> d'une approche souple et pragmatique, essentielle dans ce domaine compte tenu des différences en termes de besoins et de préférences résultant de situations géographiques, sociales et culturelles distinctes.</w:t>
      </w:r>
    </w:p>
    <w:p w:rsidR="00AD3094" w:rsidRPr="005D5101" w:rsidRDefault="00AD3094" w:rsidP="002677ED">
      <w:pPr>
        <w:spacing w:after="0" w:line="240" w:lineRule="auto"/>
        <w:jc w:val="both"/>
        <w:rPr>
          <w:rFonts w:ascii="Times New Roman" w:hAnsi="Times New Roman" w:cs="Times New Roman"/>
          <w:sz w:val="24"/>
          <w:szCs w:val="24"/>
          <w:lang w:val="fr-FR"/>
        </w:rPr>
      </w:pPr>
    </w:p>
    <w:p w:rsidR="00AD3094" w:rsidRPr="005D5101" w:rsidRDefault="00AD3094"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Le protocole établit, pour la première fois au niveau du droit primaire, les principes</w:t>
      </w:r>
      <w:r w:rsidR="003F2148" w:rsidRPr="005D5101">
        <w:rPr>
          <w:rFonts w:ascii="Times New Roman" w:hAnsi="Times New Roman" w:cs="Times New Roman"/>
          <w:sz w:val="24"/>
          <w:szCs w:val="24"/>
          <w:lang w:val="fr-FR"/>
        </w:rPr>
        <w:t xml:space="preserve"> </w:t>
      </w:r>
      <w:r w:rsidRPr="005D5101">
        <w:rPr>
          <w:rFonts w:ascii="Times New Roman" w:hAnsi="Times New Roman" w:cs="Times New Roman"/>
          <w:sz w:val="24"/>
          <w:szCs w:val="24"/>
          <w:lang w:val="fr-FR"/>
        </w:rPr>
        <w:t>fondamentaux applicables aux services d’intérêt général. Il précise que les principes doivent</w:t>
      </w:r>
    </w:p>
    <w:p w:rsidR="00AD3094" w:rsidRPr="005D5101" w:rsidRDefault="00AD3094" w:rsidP="002677ED">
      <w:pPr>
        <w:spacing w:after="0" w:line="240" w:lineRule="auto"/>
        <w:jc w:val="both"/>
        <w:rPr>
          <w:rFonts w:ascii="Times New Roman" w:hAnsi="Times New Roman" w:cs="Times New Roman"/>
          <w:sz w:val="24"/>
          <w:szCs w:val="24"/>
          <w:lang w:val="fr-FR"/>
        </w:rPr>
      </w:pPr>
      <w:proofErr w:type="gramStart"/>
      <w:r w:rsidRPr="005D5101">
        <w:rPr>
          <w:rFonts w:ascii="Times New Roman" w:hAnsi="Times New Roman" w:cs="Times New Roman"/>
          <w:sz w:val="24"/>
          <w:szCs w:val="24"/>
          <w:lang w:val="fr-FR"/>
        </w:rPr>
        <w:t>être</w:t>
      </w:r>
      <w:proofErr w:type="gramEnd"/>
      <w:r w:rsidRPr="005D5101">
        <w:rPr>
          <w:rFonts w:ascii="Times New Roman" w:hAnsi="Times New Roman" w:cs="Times New Roman"/>
          <w:sz w:val="24"/>
          <w:szCs w:val="24"/>
          <w:lang w:val="fr-FR"/>
        </w:rPr>
        <w:t xml:space="preserve"> adaptés aux différents services en jeu, ce qui ne permet donc pas </w:t>
      </w:r>
      <w:r w:rsidR="00887952" w:rsidRPr="005D5101">
        <w:rPr>
          <w:rFonts w:ascii="Times New Roman" w:hAnsi="Times New Roman" w:cs="Times New Roman"/>
          <w:i/>
          <w:sz w:val="24"/>
          <w:szCs w:val="24"/>
          <w:lang w:val="fr-FR"/>
        </w:rPr>
        <w:t>«</w:t>
      </w:r>
      <w:r w:rsidRPr="005D5101">
        <w:rPr>
          <w:rFonts w:ascii="Times New Roman" w:hAnsi="Times New Roman" w:cs="Times New Roman"/>
          <w:sz w:val="24"/>
          <w:szCs w:val="24"/>
          <w:lang w:val="fr-FR"/>
        </w:rPr>
        <w:t>une approche standard</w:t>
      </w:r>
      <w:r w:rsidR="00887952" w:rsidRPr="005D5101">
        <w:rPr>
          <w:rFonts w:ascii="Times New Roman" w:hAnsi="Times New Roman" w:cs="Times New Roman"/>
          <w:i/>
          <w:sz w:val="24"/>
          <w:szCs w:val="24"/>
          <w:lang w:val="fr-FR"/>
        </w:rPr>
        <w:t>»</w:t>
      </w:r>
      <w:r w:rsidRPr="005D5101">
        <w:rPr>
          <w:rFonts w:ascii="Times New Roman" w:hAnsi="Times New Roman" w:cs="Times New Roman"/>
          <w:sz w:val="24"/>
          <w:szCs w:val="24"/>
          <w:lang w:val="fr-FR"/>
        </w:rPr>
        <w:t xml:space="preserve">. Il confirme également que les dispositions des traités ne portent pas atteinte à la compétence des États membres relative à la fourniture, à la mise en service et à l'organisation de services non économiques d'intérêt général. Il demeure toutefois nécessaire d’établir une distinction entre les activités économiques et non économiques, et une analyse au cas par cas reste indispensable, la nature de ces activités évoluant constamment. </w:t>
      </w:r>
    </w:p>
    <w:p w:rsidR="003F2148" w:rsidRPr="005D5101" w:rsidRDefault="003F2148" w:rsidP="002677ED">
      <w:pPr>
        <w:spacing w:after="0" w:line="240" w:lineRule="auto"/>
        <w:jc w:val="both"/>
        <w:rPr>
          <w:rFonts w:ascii="Times New Roman" w:hAnsi="Times New Roman" w:cs="Times New Roman"/>
          <w:sz w:val="24"/>
          <w:szCs w:val="24"/>
          <w:lang w:val="fr-FR"/>
        </w:rPr>
      </w:pPr>
    </w:p>
    <w:p w:rsidR="00AD3094" w:rsidRPr="005D5101" w:rsidRDefault="00AD3094"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 xml:space="preserve">L’article 14 du TFUE dispose que </w:t>
      </w:r>
      <w:r w:rsidRPr="005D5101">
        <w:rPr>
          <w:rFonts w:ascii="Times New Roman" w:hAnsi="Times New Roman" w:cs="Times New Roman"/>
          <w:i/>
          <w:sz w:val="24"/>
          <w:szCs w:val="24"/>
          <w:lang w:val="fr-FR"/>
        </w:rPr>
        <w:t>«l'Union et ses États membres, chacun dans les limites de</w:t>
      </w:r>
      <w:r w:rsidR="00322CD8" w:rsidRPr="005D5101">
        <w:rPr>
          <w:rFonts w:ascii="Times New Roman" w:hAnsi="Times New Roman" w:cs="Times New Roman"/>
          <w:i/>
          <w:sz w:val="24"/>
          <w:szCs w:val="24"/>
          <w:lang w:val="fr-FR"/>
        </w:rPr>
        <w:t xml:space="preserve"> </w:t>
      </w:r>
      <w:r w:rsidRPr="005D5101">
        <w:rPr>
          <w:rFonts w:ascii="Times New Roman" w:hAnsi="Times New Roman" w:cs="Times New Roman"/>
          <w:i/>
          <w:sz w:val="24"/>
          <w:szCs w:val="24"/>
          <w:lang w:val="fr-FR"/>
        </w:rPr>
        <w:t>leurs compétences respectives et dans les limites du champ d'application des traités, veillent à</w:t>
      </w:r>
      <w:r w:rsidR="003F2148" w:rsidRPr="005D5101">
        <w:rPr>
          <w:rFonts w:ascii="Times New Roman" w:hAnsi="Times New Roman" w:cs="Times New Roman"/>
          <w:i/>
          <w:sz w:val="24"/>
          <w:szCs w:val="24"/>
          <w:lang w:val="fr-FR"/>
        </w:rPr>
        <w:t xml:space="preserve"> </w:t>
      </w:r>
      <w:r w:rsidRPr="005D5101">
        <w:rPr>
          <w:rFonts w:ascii="Times New Roman" w:hAnsi="Times New Roman" w:cs="Times New Roman"/>
          <w:i/>
          <w:sz w:val="24"/>
          <w:szCs w:val="24"/>
          <w:lang w:val="fr-FR"/>
        </w:rPr>
        <w:t>ce que ces services fonctionnent sur la base de principes et dans des conditions, notamment</w:t>
      </w:r>
      <w:r w:rsidR="003F2148" w:rsidRPr="005D5101">
        <w:rPr>
          <w:rFonts w:ascii="Times New Roman" w:hAnsi="Times New Roman" w:cs="Times New Roman"/>
          <w:i/>
          <w:sz w:val="24"/>
          <w:szCs w:val="24"/>
          <w:lang w:val="fr-FR"/>
        </w:rPr>
        <w:t xml:space="preserve"> </w:t>
      </w:r>
      <w:r w:rsidRPr="005D5101">
        <w:rPr>
          <w:rFonts w:ascii="Times New Roman" w:hAnsi="Times New Roman" w:cs="Times New Roman"/>
          <w:i/>
          <w:sz w:val="24"/>
          <w:szCs w:val="24"/>
          <w:lang w:val="fr-FR"/>
        </w:rPr>
        <w:t>économiques et financières, qui leur permettent d'accomplir leurs missions».</w:t>
      </w:r>
      <w:r w:rsidRPr="005D5101">
        <w:rPr>
          <w:rFonts w:ascii="Times New Roman" w:hAnsi="Times New Roman" w:cs="Times New Roman"/>
          <w:sz w:val="24"/>
          <w:szCs w:val="24"/>
          <w:lang w:val="fr-FR"/>
        </w:rPr>
        <w:t xml:space="preserve"> Cette disposition</w:t>
      </w:r>
      <w:r w:rsidR="003F2148" w:rsidRPr="005D5101">
        <w:rPr>
          <w:rFonts w:ascii="Times New Roman" w:hAnsi="Times New Roman" w:cs="Times New Roman"/>
          <w:sz w:val="24"/>
          <w:szCs w:val="24"/>
          <w:lang w:val="fr-FR"/>
        </w:rPr>
        <w:t xml:space="preserve"> </w:t>
      </w:r>
      <w:r w:rsidRPr="005D5101">
        <w:rPr>
          <w:rFonts w:ascii="Times New Roman" w:hAnsi="Times New Roman" w:cs="Times New Roman"/>
          <w:sz w:val="24"/>
          <w:szCs w:val="24"/>
          <w:lang w:val="fr-FR"/>
        </w:rPr>
        <w:t>permet à l'Union européenne de légiférer dans le domaine des services d'intérêt économique</w:t>
      </w:r>
      <w:r w:rsidR="003F2148" w:rsidRPr="005D5101">
        <w:rPr>
          <w:rFonts w:ascii="Times New Roman" w:hAnsi="Times New Roman" w:cs="Times New Roman"/>
          <w:sz w:val="24"/>
          <w:szCs w:val="24"/>
          <w:lang w:val="fr-FR"/>
        </w:rPr>
        <w:t xml:space="preserve"> </w:t>
      </w:r>
      <w:r w:rsidRPr="005D5101">
        <w:rPr>
          <w:rFonts w:ascii="Times New Roman" w:hAnsi="Times New Roman" w:cs="Times New Roman"/>
          <w:sz w:val="24"/>
          <w:szCs w:val="24"/>
          <w:lang w:val="fr-FR"/>
        </w:rPr>
        <w:t>général en établissant les principes et en fixant les conditions, notamment économiques et</w:t>
      </w:r>
      <w:r w:rsidR="003F2148" w:rsidRPr="005D5101">
        <w:rPr>
          <w:rFonts w:ascii="Times New Roman" w:hAnsi="Times New Roman" w:cs="Times New Roman"/>
          <w:sz w:val="24"/>
          <w:szCs w:val="24"/>
          <w:lang w:val="fr-FR"/>
        </w:rPr>
        <w:t xml:space="preserve"> </w:t>
      </w:r>
      <w:r w:rsidRPr="005D5101">
        <w:rPr>
          <w:rFonts w:ascii="Times New Roman" w:hAnsi="Times New Roman" w:cs="Times New Roman"/>
          <w:sz w:val="24"/>
          <w:szCs w:val="24"/>
          <w:lang w:val="fr-FR"/>
        </w:rPr>
        <w:t>financières, qui lui permettront d'accomplir ses missions, en statuant par voie de règlements</w:t>
      </w:r>
      <w:r w:rsidR="003F2148" w:rsidRPr="005D5101">
        <w:rPr>
          <w:rFonts w:ascii="Times New Roman" w:hAnsi="Times New Roman" w:cs="Times New Roman"/>
          <w:sz w:val="24"/>
          <w:szCs w:val="24"/>
          <w:lang w:val="fr-FR"/>
        </w:rPr>
        <w:t xml:space="preserve"> </w:t>
      </w:r>
      <w:r w:rsidRPr="005D5101">
        <w:rPr>
          <w:rFonts w:ascii="Times New Roman" w:hAnsi="Times New Roman" w:cs="Times New Roman"/>
          <w:sz w:val="24"/>
          <w:szCs w:val="24"/>
          <w:lang w:val="fr-FR"/>
        </w:rPr>
        <w:t>conformément à la procédure législative ordinaire.</w:t>
      </w:r>
    </w:p>
    <w:p w:rsidR="00322CD8" w:rsidRPr="005D5101" w:rsidRDefault="00322CD8" w:rsidP="002677ED">
      <w:pPr>
        <w:spacing w:after="0" w:line="240" w:lineRule="auto"/>
        <w:jc w:val="both"/>
        <w:rPr>
          <w:rFonts w:ascii="Times New Roman" w:hAnsi="Times New Roman" w:cs="Times New Roman"/>
          <w:sz w:val="24"/>
          <w:szCs w:val="24"/>
          <w:lang w:val="fr-FR"/>
        </w:rPr>
      </w:pPr>
    </w:p>
    <w:p w:rsidR="00322CD8" w:rsidRPr="005D5101" w:rsidRDefault="00322CD8"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 xml:space="preserve">L’article 14 précise qu'une quelconque réglementation en la matière doit être définie </w:t>
      </w:r>
      <w:r w:rsidRPr="005D5101">
        <w:rPr>
          <w:rFonts w:ascii="Times New Roman" w:hAnsi="Times New Roman" w:cs="Times New Roman"/>
          <w:i/>
          <w:sz w:val="24"/>
          <w:szCs w:val="24"/>
          <w:lang w:val="fr-FR"/>
        </w:rPr>
        <w:t>«sans préjudice de la compétence qu'ont les États membres, dans le respect des traités, de fournir, de faire exécuter et de financer ces services»</w:t>
      </w:r>
      <w:r w:rsidRPr="005D5101">
        <w:rPr>
          <w:rFonts w:ascii="Times New Roman" w:hAnsi="Times New Roman" w:cs="Times New Roman"/>
          <w:sz w:val="24"/>
          <w:szCs w:val="24"/>
          <w:lang w:val="fr-FR"/>
        </w:rPr>
        <w:t xml:space="preserve">. Il tient compte du fait que l’organisation, la fourniture et le financement de tels services relèvent principalement de la compétence des États membres au niveau national, régional ou local. La nécessité d’une législation fondée sur l'article 14 du TFUE continuera de faire l’objet de diverses consultations publiques et d’un dialogue permanent avec les parties prenantes. Chacun semble convenir à ce stade qu’il ne s'agit pas d'une priorité immédiate. La Commission estime qu’une approche sectorielle, </w:t>
      </w:r>
      <w:r w:rsidRPr="005D5101">
        <w:rPr>
          <w:rFonts w:ascii="Times New Roman" w:hAnsi="Times New Roman" w:cs="Times New Roman"/>
          <w:sz w:val="24"/>
          <w:szCs w:val="24"/>
          <w:lang w:val="fr-FR"/>
        </w:rPr>
        <w:lastRenderedPageBreak/>
        <w:t>permettant de trouver des solutions sur mesure à des problèmes concrets et spécifiques survenant dans des secteurs différents, est plus appropriée.</w:t>
      </w:r>
    </w:p>
    <w:p w:rsidR="00322CD8" w:rsidRPr="005D5101" w:rsidRDefault="00322CD8" w:rsidP="002677ED">
      <w:pPr>
        <w:spacing w:after="0" w:line="240" w:lineRule="auto"/>
        <w:jc w:val="both"/>
        <w:rPr>
          <w:rFonts w:ascii="Times New Roman" w:hAnsi="Times New Roman" w:cs="Times New Roman"/>
          <w:sz w:val="24"/>
          <w:szCs w:val="24"/>
          <w:lang w:val="fr-FR"/>
        </w:rPr>
      </w:pPr>
    </w:p>
    <w:p w:rsidR="00322CD8" w:rsidRPr="005D5101" w:rsidRDefault="00322CD8" w:rsidP="002677ED">
      <w:pPr>
        <w:spacing w:after="0" w:line="240" w:lineRule="auto"/>
        <w:jc w:val="both"/>
        <w:rPr>
          <w:rFonts w:ascii="Times New Roman" w:hAnsi="Times New Roman" w:cs="Times New Roman"/>
          <w:sz w:val="24"/>
          <w:szCs w:val="24"/>
          <w:lang w:val="fr-FR"/>
        </w:rPr>
      </w:pPr>
      <w:r w:rsidRPr="005D5101">
        <w:rPr>
          <w:rFonts w:ascii="Times New Roman" w:hAnsi="Times New Roman" w:cs="Times New Roman"/>
          <w:sz w:val="24"/>
          <w:szCs w:val="24"/>
          <w:lang w:val="fr-FR"/>
        </w:rPr>
        <w:t>La Commission continuera d’examiner l’opportunité de revoir la réglementation sectorielle existante, qui inclut les obligations de service universel, ainsi que la nécessité éventuelle d'instaurer de nouvelles obligations de service universel dans d'autres secteurs. Elle déterminera également s’il convient d’établir les principes et conditions permettant à des services publics spécifiques de remplir leurs missions sur la base de l’article 14 du TFUE. Le respect de la diversité existante des services et des situations au sein de l’UE continuera de guider son appréciation.</w:t>
      </w:r>
    </w:p>
    <w:sectPr w:rsidR="00322CD8" w:rsidRPr="005D5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3B"/>
    <w:rsid w:val="002677ED"/>
    <w:rsid w:val="00322CD8"/>
    <w:rsid w:val="003F2148"/>
    <w:rsid w:val="004A49A4"/>
    <w:rsid w:val="005A253B"/>
    <w:rsid w:val="005D5101"/>
    <w:rsid w:val="00622C5B"/>
    <w:rsid w:val="00887952"/>
    <w:rsid w:val="009B3299"/>
    <w:rsid w:val="00AD3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8A0F-A42A-41C2-9D01-D6140251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Ozlen Kavalali</dc:creator>
  <cp:lastModifiedBy>Sinem Cevik</cp:lastModifiedBy>
  <cp:revision>2</cp:revision>
  <dcterms:created xsi:type="dcterms:W3CDTF">2015-12-02T09:31:00Z</dcterms:created>
  <dcterms:modified xsi:type="dcterms:W3CDTF">2015-12-02T09:31:00Z</dcterms:modified>
</cp:coreProperties>
</file>